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9B2934" w14:textId="6CB7F16C" w:rsidR="00A53D6A" w:rsidRDefault="009C00D0" w:rsidP="00A53D6A">
      <w:pPr>
        <w:rPr>
          <w:rFonts w:ascii="Times New Roman" w:hAnsi="Times New Roman" w:cs="Perpetua"/>
          <w:color w:val="000000"/>
        </w:rPr>
      </w:pPr>
      <w:bookmarkStart w:id="0" w:name="_GoBack"/>
      <w:bookmarkEnd w:id="0"/>
      <w:proofErr w:type="gramStart"/>
      <w:r>
        <w:rPr>
          <w:rFonts w:ascii="Times New Roman" w:hAnsi="Times New Roman"/>
        </w:rPr>
        <w:t>P</w:t>
      </w:r>
      <w:r w:rsidR="00AB05A5">
        <w:rPr>
          <w:rFonts w:ascii="Times New Roman" w:hAnsi="Times New Roman"/>
        </w:rPr>
        <w:t>republication version of paper.</w:t>
      </w:r>
      <w:proofErr w:type="gramEnd"/>
      <w:r w:rsidR="00AB05A5">
        <w:rPr>
          <w:rFonts w:ascii="Times New Roman" w:hAnsi="Times New Roman"/>
        </w:rPr>
        <w:t xml:space="preserve"> C</w:t>
      </w:r>
      <w:r>
        <w:rPr>
          <w:rFonts w:ascii="Times New Roman" w:hAnsi="Times New Roman"/>
        </w:rPr>
        <w:t>itation to published version</w:t>
      </w:r>
      <w:r w:rsidR="00AB05A5">
        <w:rPr>
          <w:rFonts w:ascii="Times New Roman" w:hAnsi="Times New Roman"/>
        </w:rPr>
        <w:t xml:space="preserve"> of paper</w:t>
      </w:r>
      <w:r>
        <w:rPr>
          <w:rFonts w:ascii="Times New Roman" w:hAnsi="Times New Roman"/>
        </w:rPr>
        <w:t xml:space="preserve">: Grabel, Ilene, </w:t>
      </w:r>
      <w:r w:rsidR="00AB05A5">
        <w:rPr>
          <w:rFonts w:ascii="Times New Roman" w:hAnsi="Times New Roman"/>
        </w:rPr>
        <w:t xml:space="preserve">“Continuity, Discontinuity, and Incoherence in the Bretton Woods Order: A </w:t>
      </w:r>
      <w:proofErr w:type="spellStart"/>
      <w:r w:rsidR="00AB05A5">
        <w:rPr>
          <w:rFonts w:ascii="Times New Roman" w:hAnsi="Times New Roman"/>
        </w:rPr>
        <w:t>Hirschmanian</w:t>
      </w:r>
      <w:proofErr w:type="spellEnd"/>
      <w:r w:rsidR="00AB05A5">
        <w:rPr>
          <w:rFonts w:ascii="Times New Roman" w:hAnsi="Times New Roman"/>
        </w:rPr>
        <w:t xml:space="preserve"> Reading,” </w:t>
      </w:r>
      <w:r w:rsidRPr="00B261D3">
        <w:rPr>
          <w:rFonts w:ascii="Times New Roman" w:hAnsi="Times New Roman"/>
          <w:i/>
        </w:rPr>
        <w:t>Development and Change</w:t>
      </w:r>
      <w:r w:rsidRPr="00B261D3">
        <w:rPr>
          <w:rFonts w:ascii="Times New Roman" w:hAnsi="Times New Roman"/>
        </w:rPr>
        <w:t>, Special Issue on “Beyond Bretton Woods:</w:t>
      </w:r>
      <w:r w:rsidRPr="00B261D3">
        <w:rPr>
          <w:rFonts w:ascii="Times New Roman" w:hAnsi="Times New Roman" w:cs="Perpetua"/>
          <w:color w:val="000000"/>
        </w:rPr>
        <w:t xml:space="preserve"> Complementarity and Competition in the International Economic Order,” 2019</w:t>
      </w:r>
      <w:r>
        <w:rPr>
          <w:rFonts w:ascii="Times New Roman" w:hAnsi="Times New Roman" w:cs="Perpetua"/>
          <w:color w:val="000000"/>
        </w:rPr>
        <w:t xml:space="preserve">, </w:t>
      </w:r>
      <w:r w:rsidR="003B29F0">
        <w:rPr>
          <w:rFonts w:ascii="Times New Roman" w:hAnsi="Times New Roman" w:cs="Perpetua"/>
          <w:color w:val="000000"/>
        </w:rPr>
        <w:t xml:space="preserve">50(1), </w:t>
      </w:r>
      <w:r w:rsidR="00AB05A5">
        <w:rPr>
          <w:rFonts w:ascii="Times New Roman" w:hAnsi="Times New Roman" w:cs="Perpetua"/>
          <w:color w:val="000000"/>
        </w:rPr>
        <w:t>pp. 46-</w:t>
      </w:r>
    </w:p>
    <w:p w14:paraId="178896C5" w14:textId="67B5AFD9" w:rsidR="00A53D6A" w:rsidRDefault="00A53D6A" w:rsidP="00A53D6A">
      <w:pPr>
        <w:rPr>
          <w:rFonts w:eastAsia="Times New Roman"/>
        </w:rPr>
      </w:pPr>
      <w:r>
        <w:t>71</w:t>
      </w:r>
      <w:r>
        <w:t>,</w:t>
      </w:r>
      <w:r>
        <w:rPr>
          <w:rFonts w:ascii="Cambria" w:eastAsia="Times New Roman" w:hAnsi="Cambria"/>
          <w:color w:val="000000"/>
          <w:sz w:val="21"/>
          <w:szCs w:val="21"/>
        </w:rPr>
        <w:t xml:space="preserve"> </w:t>
      </w:r>
      <w:hyperlink r:id="rId9" w:history="1">
        <w:r>
          <w:rPr>
            <w:rStyle w:val="Hyperlink"/>
            <w:rFonts w:ascii="Cambria" w:eastAsia="Times New Roman" w:hAnsi="Cambria"/>
            <w:sz w:val="21"/>
            <w:szCs w:val="21"/>
          </w:rPr>
          <w:t>http://dx.doi.org/10.1111/dech.12469</w:t>
        </w:r>
      </w:hyperlink>
      <w:proofErr w:type="gramStart"/>
      <w:r>
        <w:rPr>
          <w:rFonts w:eastAsia="Times New Roman"/>
        </w:rPr>
        <w:t xml:space="preserve"> .</w:t>
      </w:r>
      <w:proofErr w:type="gramEnd"/>
    </w:p>
    <w:p w14:paraId="3F8221E5" w14:textId="2ECF9530" w:rsidR="00AB05A5" w:rsidRDefault="00AB05A5" w:rsidP="00AB05A5">
      <w:pPr>
        <w:widowControl w:val="0"/>
        <w:autoSpaceDE w:val="0"/>
        <w:autoSpaceDN w:val="0"/>
        <w:adjustRightInd w:val="0"/>
        <w:spacing w:after="240" w:line="300" w:lineRule="atLeast"/>
        <w:rPr>
          <w:rFonts w:ascii="Times" w:hAnsi="Times" w:cs="Times"/>
          <w:color w:val="000000"/>
        </w:rPr>
      </w:pPr>
    </w:p>
    <w:p w14:paraId="754F4BBC" w14:textId="2DE59C2B" w:rsidR="00DB5476" w:rsidRDefault="00DB5476" w:rsidP="00B261D3">
      <w:pPr>
        <w:rPr>
          <w:rFonts w:ascii="Times New Roman" w:hAnsi="Times New Roman" w:cs="Perpetua"/>
          <w:color w:val="000000"/>
        </w:rPr>
      </w:pPr>
    </w:p>
    <w:p w14:paraId="574DD2B6" w14:textId="77777777" w:rsidR="00B261D3" w:rsidRDefault="00B261D3" w:rsidP="00B261D3">
      <w:pPr>
        <w:rPr>
          <w:rFonts w:ascii="Times New Roman" w:hAnsi="Times New Roman" w:cs="Perpetua"/>
          <w:color w:val="000000"/>
        </w:rPr>
      </w:pPr>
    </w:p>
    <w:p w14:paraId="5F9968D5" w14:textId="77777777" w:rsidR="00B261D3" w:rsidRDefault="00B261D3" w:rsidP="00B261D3">
      <w:pPr>
        <w:rPr>
          <w:rFonts w:ascii="Times New Roman" w:hAnsi="Times New Roman" w:cs="Perpetua"/>
          <w:color w:val="000000"/>
        </w:rPr>
      </w:pPr>
    </w:p>
    <w:p w14:paraId="1B578F9E" w14:textId="77777777" w:rsidR="00B261D3" w:rsidRDefault="00B261D3" w:rsidP="00B261D3">
      <w:pPr>
        <w:rPr>
          <w:rFonts w:ascii="Times New Roman" w:hAnsi="Times New Roman" w:cs="Perpetua"/>
          <w:color w:val="000000"/>
        </w:rPr>
      </w:pPr>
    </w:p>
    <w:p w14:paraId="092D6AE1" w14:textId="77777777" w:rsidR="00B261D3" w:rsidRDefault="00B261D3" w:rsidP="00B261D3">
      <w:pPr>
        <w:rPr>
          <w:rFonts w:ascii="Times New Roman" w:hAnsi="Times New Roman" w:cs="Perpetua"/>
          <w:color w:val="000000"/>
        </w:rPr>
      </w:pPr>
    </w:p>
    <w:p w14:paraId="2E6A0258" w14:textId="77777777" w:rsidR="00B261D3" w:rsidRDefault="00B261D3" w:rsidP="00B261D3">
      <w:pPr>
        <w:rPr>
          <w:rFonts w:ascii="Times New Roman" w:hAnsi="Times New Roman" w:cs="Perpetua"/>
          <w:color w:val="000000"/>
        </w:rPr>
      </w:pPr>
    </w:p>
    <w:p w14:paraId="33E8C42F" w14:textId="77777777" w:rsidR="00B261D3" w:rsidRDefault="00B261D3" w:rsidP="00B261D3">
      <w:pPr>
        <w:rPr>
          <w:rFonts w:ascii="Times New Roman" w:hAnsi="Times New Roman" w:cs="Perpetua"/>
          <w:color w:val="000000"/>
        </w:rPr>
      </w:pPr>
    </w:p>
    <w:p w14:paraId="03BB0D3A" w14:textId="77777777" w:rsidR="00B261D3" w:rsidRPr="00B261D3" w:rsidRDefault="00B261D3" w:rsidP="00B261D3">
      <w:pPr>
        <w:rPr>
          <w:rFonts w:ascii="Times New Roman" w:hAnsi="Times New Roman"/>
        </w:rPr>
      </w:pPr>
    </w:p>
    <w:p w14:paraId="11CE034B" w14:textId="77777777" w:rsidR="00647460" w:rsidRDefault="00647460" w:rsidP="004F7552">
      <w:pPr>
        <w:spacing w:line="360" w:lineRule="auto"/>
        <w:rPr>
          <w:rFonts w:ascii="Times New Roman" w:hAnsi="Times New Roman"/>
          <w:b/>
        </w:rPr>
      </w:pPr>
    </w:p>
    <w:p w14:paraId="585E1B8A" w14:textId="0FAE2EB8" w:rsidR="002E4792" w:rsidRPr="00A77BD5" w:rsidRDefault="00015F81" w:rsidP="004F7552">
      <w:pPr>
        <w:spacing w:line="360" w:lineRule="auto"/>
        <w:rPr>
          <w:rFonts w:ascii="Times New Roman" w:hAnsi="Times New Roman"/>
          <w:b/>
        </w:rPr>
      </w:pPr>
      <w:r w:rsidRPr="00A77BD5">
        <w:rPr>
          <w:rFonts w:ascii="Times New Roman" w:hAnsi="Times New Roman"/>
          <w:b/>
        </w:rPr>
        <w:t xml:space="preserve">CONTINUITY, </w:t>
      </w:r>
      <w:r w:rsidR="002E4792" w:rsidRPr="00A77BD5">
        <w:rPr>
          <w:rFonts w:ascii="Times New Roman" w:hAnsi="Times New Roman"/>
          <w:b/>
        </w:rPr>
        <w:t xml:space="preserve">DISCONTINUITY, </w:t>
      </w:r>
      <w:r w:rsidRPr="00A77BD5">
        <w:rPr>
          <w:rFonts w:ascii="Times New Roman" w:hAnsi="Times New Roman"/>
          <w:b/>
        </w:rPr>
        <w:t xml:space="preserve">AND </w:t>
      </w:r>
      <w:r w:rsidR="002E4792" w:rsidRPr="00A77BD5">
        <w:rPr>
          <w:rFonts w:ascii="Times New Roman" w:hAnsi="Times New Roman"/>
          <w:b/>
        </w:rPr>
        <w:t>INCOHERENCE</w:t>
      </w:r>
      <w:r w:rsidRPr="00A77BD5">
        <w:rPr>
          <w:rFonts w:ascii="Times New Roman" w:hAnsi="Times New Roman"/>
          <w:b/>
        </w:rPr>
        <w:t xml:space="preserve"> IN THE</w:t>
      </w:r>
      <w:r w:rsidR="002E4792" w:rsidRPr="00A77BD5">
        <w:rPr>
          <w:rFonts w:ascii="Times New Roman" w:hAnsi="Times New Roman"/>
          <w:b/>
        </w:rPr>
        <w:t xml:space="preserve"> BRETTON WOODS </w:t>
      </w:r>
      <w:r w:rsidRPr="00A77BD5">
        <w:rPr>
          <w:rFonts w:ascii="Times New Roman" w:hAnsi="Times New Roman"/>
          <w:b/>
        </w:rPr>
        <w:t>ORDER</w:t>
      </w:r>
      <w:r w:rsidR="00AC6F40" w:rsidRPr="00A77BD5">
        <w:rPr>
          <w:rFonts w:ascii="Times New Roman" w:hAnsi="Times New Roman"/>
          <w:b/>
        </w:rPr>
        <w:t xml:space="preserve">: A HIRSCHMANIAN </w:t>
      </w:r>
      <w:r w:rsidR="00C44FB8" w:rsidRPr="00A77BD5">
        <w:rPr>
          <w:rFonts w:ascii="Times New Roman" w:hAnsi="Times New Roman"/>
          <w:b/>
        </w:rPr>
        <w:t>READING</w:t>
      </w:r>
    </w:p>
    <w:p w14:paraId="249B07C6" w14:textId="77777777" w:rsidR="00BB3B8D" w:rsidRPr="00A77BD5" w:rsidRDefault="00BB3B8D" w:rsidP="004F7552">
      <w:pPr>
        <w:spacing w:line="360" w:lineRule="auto"/>
        <w:rPr>
          <w:rFonts w:ascii="Times New Roman" w:hAnsi="Times New Roman"/>
        </w:rPr>
      </w:pPr>
    </w:p>
    <w:p w14:paraId="5E89319F" w14:textId="41648A76" w:rsidR="00746677" w:rsidRPr="00193347" w:rsidRDefault="00746677" w:rsidP="004F7552">
      <w:pPr>
        <w:spacing w:line="360" w:lineRule="auto"/>
        <w:rPr>
          <w:rFonts w:ascii="Times New Roman" w:hAnsi="Times New Roman"/>
        </w:rPr>
      </w:pPr>
      <w:r w:rsidRPr="00193347">
        <w:rPr>
          <w:rFonts w:ascii="Times New Roman" w:hAnsi="Times New Roman"/>
        </w:rPr>
        <w:t>Ilene Grabel</w:t>
      </w:r>
      <w:r w:rsidR="00934EDB" w:rsidRPr="00193347">
        <w:rPr>
          <w:rFonts w:ascii="Times New Roman" w:hAnsi="Times New Roman"/>
          <w:bCs/>
          <w:vertAlign w:val="superscript"/>
        </w:rPr>
        <w:t>*</w:t>
      </w:r>
    </w:p>
    <w:p w14:paraId="2251F327" w14:textId="77777777" w:rsidR="006769AF" w:rsidRDefault="006769AF" w:rsidP="004F7552">
      <w:pPr>
        <w:spacing w:line="360" w:lineRule="auto"/>
        <w:rPr>
          <w:rFonts w:ascii="Times New Roman" w:hAnsi="Times New Roman"/>
        </w:rPr>
      </w:pPr>
    </w:p>
    <w:p w14:paraId="4920AC5B" w14:textId="77777777" w:rsidR="00647460" w:rsidRDefault="00647460" w:rsidP="004F7552">
      <w:pPr>
        <w:spacing w:line="360" w:lineRule="auto"/>
        <w:rPr>
          <w:rFonts w:ascii="Times New Roman" w:hAnsi="Times New Roman"/>
        </w:rPr>
      </w:pPr>
    </w:p>
    <w:p w14:paraId="0580F096" w14:textId="77777777" w:rsidR="00647460" w:rsidRDefault="00647460" w:rsidP="004F7552">
      <w:pPr>
        <w:spacing w:line="360" w:lineRule="auto"/>
        <w:rPr>
          <w:rFonts w:ascii="Times New Roman" w:hAnsi="Times New Roman"/>
        </w:rPr>
      </w:pPr>
    </w:p>
    <w:p w14:paraId="3E9A4F95" w14:textId="77777777" w:rsidR="00647460" w:rsidRDefault="00647460" w:rsidP="004F7552">
      <w:pPr>
        <w:spacing w:line="360" w:lineRule="auto"/>
        <w:rPr>
          <w:rFonts w:ascii="Times New Roman" w:hAnsi="Times New Roman"/>
        </w:rPr>
      </w:pPr>
    </w:p>
    <w:p w14:paraId="40EBDD99" w14:textId="77777777" w:rsidR="00647460" w:rsidRDefault="00647460" w:rsidP="004F7552">
      <w:pPr>
        <w:spacing w:line="360" w:lineRule="auto"/>
        <w:rPr>
          <w:rFonts w:ascii="Times New Roman" w:hAnsi="Times New Roman"/>
        </w:rPr>
      </w:pPr>
    </w:p>
    <w:p w14:paraId="33A10196" w14:textId="77777777" w:rsidR="00647460" w:rsidRDefault="00647460" w:rsidP="004F7552">
      <w:pPr>
        <w:spacing w:line="360" w:lineRule="auto"/>
        <w:rPr>
          <w:rFonts w:ascii="Times New Roman" w:hAnsi="Times New Roman"/>
        </w:rPr>
      </w:pPr>
    </w:p>
    <w:p w14:paraId="2760FD29" w14:textId="77777777" w:rsidR="00647460" w:rsidRDefault="00647460" w:rsidP="004F7552">
      <w:pPr>
        <w:spacing w:line="360" w:lineRule="auto"/>
        <w:rPr>
          <w:rFonts w:ascii="Times New Roman" w:hAnsi="Times New Roman"/>
        </w:rPr>
      </w:pPr>
    </w:p>
    <w:p w14:paraId="4EDCC81D" w14:textId="77777777" w:rsidR="00647460" w:rsidRDefault="00647460" w:rsidP="004F7552">
      <w:pPr>
        <w:spacing w:line="360" w:lineRule="auto"/>
        <w:rPr>
          <w:rFonts w:ascii="Times New Roman" w:hAnsi="Times New Roman"/>
        </w:rPr>
      </w:pPr>
    </w:p>
    <w:p w14:paraId="06F5DF8C" w14:textId="77777777" w:rsidR="00647460" w:rsidRDefault="00647460" w:rsidP="004F7552">
      <w:pPr>
        <w:spacing w:line="360" w:lineRule="auto"/>
        <w:rPr>
          <w:rFonts w:ascii="Times New Roman" w:hAnsi="Times New Roman"/>
        </w:rPr>
      </w:pPr>
    </w:p>
    <w:p w14:paraId="218DBDA0" w14:textId="77777777" w:rsidR="00647460" w:rsidRDefault="00647460" w:rsidP="004F7552">
      <w:pPr>
        <w:spacing w:line="360" w:lineRule="auto"/>
        <w:rPr>
          <w:rFonts w:ascii="Times New Roman" w:hAnsi="Times New Roman"/>
        </w:rPr>
      </w:pPr>
    </w:p>
    <w:p w14:paraId="55B06CB4" w14:textId="77777777" w:rsidR="00647460" w:rsidRDefault="00647460" w:rsidP="004F7552">
      <w:pPr>
        <w:spacing w:line="360" w:lineRule="auto"/>
        <w:rPr>
          <w:rFonts w:ascii="Times New Roman" w:hAnsi="Times New Roman"/>
        </w:rPr>
      </w:pPr>
    </w:p>
    <w:p w14:paraId="6C471D77" w14:textId="77777777" w:rsidR="00647460" w:rsidRDefault="00647460" w:rsidP="004F7552">
      <w:pPr>
        <w:spacing w:line="360" w:lineRule="auto"/>
        <w:rPr>
          <w:rFonts w:ascii="Times New Roman" w:hAnsi="Times New Roman"/>
        </w:rPr>
      </w:pPr>
    </w:p>
    <w:p w14:paraId="7F424388" w14:textId="77777777" w:rsidR="00647460" w:rsidRDefault="00647460" w:rsidP="004F7552">
      <w:pPr>
        <w:spacing w:line="360" w:lineRule="auto"/>
        <w:rPr>
          <w:rFonts w:ascii="Times New Roman" w:hAnsi="Times New Roman"/>
        </w:rPr>
      </w:pPr>
    </w:p>
    <w:p w14:paraId="2C25A86D" w14:textId="77777777" w:rsidR="00647460" w:rsidRDefault="00647460" w:rsidP="004F7552">
      <w:pPr>
        <w:spacing w:line="360" w:lineRule="auto"/>
        <w:rPr>
          <w:rFonts w:ascii="Times New Roman" w:hAnsi="Times New Roman"/>
        </w:rPr>
      </w:pPr>
    </w:p>
    <w:p w14:paraId="3BBB265B" w14:textId="77777777" w:rsidR="00647460" w:rsidRDefault="00647460" w:rsidP="004F7552">
      <w:pPr>
        <w:spacing w:line="360" w:lineRule="auto"/>
        <w:rPr>
          <w:rFonts w:ascii="Times New Roman" w:hAnsi="Times New Roman"/>
        </w:rPr>
      </w:pPr>
    </w:p>
    <w:p w14:paraId="763AD100" w14:textId="77777777" w:rsidR="00647460" w:rsidRDefault="00647460" w:rsidP="004F7552">
      <w:pPr>
        <w:spacing w:line="360" w:lineRule="auto"/>
        <w:rPr>
          <w:rFonts w:ascii="Times New Roman" w:hAnsi="Times New Roman"/>
        </w:rPr>
      </w:pPr>
    </w:p>
    <w:p w14:paraId="4970F106" w14:textId="77777777" w:rsidR="00647460" w:rsidRDefault="00647460" w:rsidP="004F7552">
      <w:pPr>
        <w:spacing w:line="360" w:lineRule="auto"/>
        <w:rPr>
          <w:rFonts w:ascii="Times New Roman" w:hAnsi="Times New Roman"/>
        </w:rPr>
      </w:pPr>
    </w:p>
    <w:p w14:paraId="42C6AA83" w14:textId="77777777" w:rsidR="00647460" w:rsidRPr="00A77BD5" w:rsidRDefault="00647460" w:rsidP="004F7552">
      <w:pPr>
        <w:spacing w:line="360" w:lineRule="auto"/>
        <w:rPr>
          <w:rFonts w:ascii="Times New Roman" w:hAnsi="Times New Roman"/>
        </w:rPr>
      </w:pPr>
    </w:p>
    <w:p w14:paraId="16E03691" w14:textId="114CC3D7" w:rsidR="00BB3B8D" w:rsidRPr="00A77BD5" w:rsidRDefault="004F7552" w:rsidP="004F7552">
      <w:pPr>
        <w:spacing w:line="360" w:lineRule="auto"/>
        <w:rPr>
          <w:rFonts w:ascii="Times New Roman" w:hAnsi="Times New Roman"/>
        </w:rPr>
      </w:pPr>
      <w:r>
        <w:rPr>
          <w:rFonts w:ascii="Times New Roman" w:hAnsi="Times New Roman"/>
        </w:rPr>
        <w:t>-------</w:t>
      </w:r>
      <w:r w:rsidR="00DB4782">
        <w:rPr>
          <w:rFonts w:ascii="Times New Roman" w:hAnsi="Times New Roman"/>
        </w:rPr>
        <w:t>------------------</w:t>
      </w:r>
    </w:p>
    <w:p w14:paraId="56F3B590" w14:textId="4901C1D5" w:rsidR="00746677" w:rsidRDefault="00746677" w:rsidP="004F7552">
      <w:pPr>
        <w:widowControl w:val="0"/>
        <w:autoSpaceDE w:val="0"/>
        <w:autoSpaceDN w:val="0"/>
        <w:adjustRightInd w:val="0"/>
        <w:spacing w:line="360" w:lineRule="auto"/>
        <w:rPr>
          <w:rFonts w:ascii="Times New Roman" w:hAnsi="Times New Roman"/>
        </w:rPr>
      </w:pPr>
      <w:r w:rsidRPr="00A77BD5">
        <w:rPr>
          <w:rFonts w:ascii="Times New Roman" w:hAnsi="Times New Roman"/>
          <w:vertAlign w:val="superscript"/>
        </w:rPr>
        <w:t xml:space="preserve">* </w:t>
      </w:r>
      <w:r w:rsidRPr="00A77BD5">
        <w:rPr>
          <w:rFonts w:ascii="Times New Roman" w:hAnsi="Times New Roman"/>
        </w:rPr>
        <w:t xml:space="preserve">I thank George </w:t>
      </w:r>
      <w:proofErr w:type="spellStart"/>
      <w:r w:rsidRPr="00A77BD5">
        <w:rPr>
          <w:rFonts w:ascii="Times New Roman" w:hAnsi="Times New Roman"/>
        </w:rPr>
        <w:t>DeMartino</w:t>
      </w:r>
      <w:proofErr w:type="spellEnd"/>
      <w:r w:rsidR="00934EDB" w:rsidRPr="00A77BD5">
        <w:rPr>
          <w:rFonts w:ascii="Times New Roman" w:hAnsi="Times New Roman"/>
        </w:rPr>
        <w:t>,</w:t>
      </w:r>
      <w:r w:rsidRPr="00A77BD5">
        <w:rPr>
          <w:rFonts w:ascii="Times New Roman" w:hAnsi="Times New Roman"/>
        </w:rPr>
        <w:t xml:space="preserve"> participants at the workshop ‘Beyond Bretton Woods:</w:t>
      </w:r>
      <w:r w:rsidRPr="00A77BD5">
        <w:rPr>
          <w:rFonts w:ascii="Times New Roman" w:hAnsi="Times New Roman" w:cs="Perpetua"/>
          <w:color w:val="000000"/>
        </w:rPr>
        <w:t xml:space="preserve"> Complementarity and Competition in the International Economic Order</w:t>
      </w:r>
      <w:r w:rsidRPr="00A77BD5">
        <w:rPr>
          <w:rFonts w:ascii="Times New Roman" w:hAnsi="Times New Roman"/>
        </w:rPr>
        <w:t>’ (Boston University, Global Development Policy Center, September 15, 2017)</w:t>
      </w:r>
      <w:r w:rsidR="00934EDB" w:rsidRPr="00A77BD5">
        <w:rPr>
          <w:rFonts w:ascii="Times New Roman" w:hAnsi="Times New Roman"/>
        </w:rPr>
        <w:t>, and seven anonymous referees</w:t>
      </w:r>
      <w:r w:rsidR="00DC58FD" w:rsidRPr="00A77BD5">
        <w:rPr>
          <w:rFonts w:ascii="Times New Roman" w:hAnsi="Times New Roman"/>
        </w:rPr>
        <w:t xml:space="preserve"> for </w:t>
      </w:r>
      <w:r w:rsidRPr="00A77BD5">
        <w:rPr>
          <w:rFonts w:ascii="Times New Roman" w:hAnsi="Times New Roman"/>
        </w:rPr>
        <w:t xml:space="preserve">invaluable comments. Jeff Chase, Denise </w:t>
      </w:r>
      <w:proofErr w:type="spellStart"/>
      <w:r w:rsidRPr="00A77BD5">
        <w:rPr>
          <w:rFonts w:ascii="Times New Roman" w:hAnsi="Times New Roman"/>
        </w:rPr>
        <w:t>Marton</w:t>
      </w:r>
      <w:proofErr w:type="spellEnd"/>
      <w:r w:rsidRPr="00A77BD5">
        <w:rPr>
          <w:rFonts w:ascii="Times New Roman" w:hAnsi="Times New Roman"/>
        </w:rPr>
        <w:t xml:space="preserve"> Menendez, Meredith Moon, </w:t>
      </w:r>
      <w:proofErr w:type="spellStart"/>
      <w:r w:rsidRPr="00A77BD5">
        <w:rPr>
          <w:rFonts w:ascii="Times New Roman" w:hAnsi="Times New Roman"/>
        </w:rPr>
        <w:t>Nyambe</w:t>
      </w:r>
      <w:proofErr w:type="spellEnd"/>
      <w:r w:rsidRPr="00A77BD5">
        <w:rPr>
          <w:rFonts w:ascii="Times New Roman" w:hAnsi="Times New Roman"/>
        </w:rPr>
        <w:t xml:space="preserve"> </w:t>
      </w:r>
      <w:proofErr w:type="spellStart"/>
      <w:r w:rsidRPr="00A77BD5">
        <w:rPr>
          <w:rFonts w:ascii="Times New Roman" w:hAnsi="Times New Roman"/>
        </w:rPr>
        <w:t>Muyunda</w:t>
      </w:r>
      <w:proofErr w:type="spellEnd"/>
      <w:r w:rsidRPr="00A77BD5">
        <w:rPr>
          <w:rFonts w:ascii="Times New Roman" w:hAnsi="Times New Roman"/>
        </w:rPr>
        <w:t xml:space="preserve">, and Brooke Snowden provided excellent research assistance. </w:t>
      </w:r>
    </w:p>
    <w:p w14:paraId="0ACCEBF3" w14:textId="711E7BA1" w:rsidR="001E1F6C" w:rsidRPr="00647460" w:rsidRDefault="00647460" w:rsidP="00647460">
      <w:pPr>
        <w:widowControl w:val="0"/>
        <w:autoSpaceDE w:val="0"/>
        <w:autoSpaceDN w:val="0"/>
        <w:adjustRightInd w:val="0"/>
        <w:spacing w:line="360" w:lineRule="auto"/>
        <w:rPr>
          <w:rFonts w:ascii="Times New Roman" w:hAnsi="Times New Roman"/>
        </w:rPr>
      </w:pPr>
      <w:r>
        <w:rPr>
          <w:rFonts w:ascii="Times New Roman" w:hAnsi="Times New Roman"/>
        </w:rPr>
        <w:br w:type="page"/>
      </w:r>
      <w:r w:rsidR="001E1F6C" w:rsidRPr="00A77BD5">
        <w:rPr>
          <w:rFonts w:ascii="Times New Roman" w:hAnsi="Times New Roman"/>
          <w:b/>
        </w:rPr>
        <w:t>ARCHITECTURAL CONTINUITY AND CRISES</w:t>
      </w:r>
    </w:p>
    <w:p w14:paraId="728492EE" w14:textId="3878FC34" w:rsidR="001E1F6C" w:rsidRPr="00A77BD5" w:rsidRDefault="001E1F6C" w:rsidP="004F7552">
      <w:pPr>
        <w:spacing w:line="360" w:lineRule="auto"/>
        <w:rPr>
          <w:rFonts w:ascii="Times New Roman" w:hAnsi="Times New Roman"/>
        </w:rPr>
      </w:pPr>
      <w:r w:rsidRPr="00A77BD5">
        <w:rPr>
          <w:rFonts w:ascii="Times New Roman" w:hAnsi="Times New Roman"/>
        </w:rPr>
        <w:t xml:space="preserve">Economic crises call attention to the limitations of prevailing economic orthodoxies and the institutional and regulatory architectures that undergird them. </w:t>
      </w:r>
      <w:r w:rsidR="00D93FA7" w:rsidRPr="00A77BD5">
        <w:rPr>
          <w:rFonts w:ascii="Times New Roman" w:hAnsi="Times New Roman"/>
        </w:rPr>
        <w:t>C</w:t>
      </w:r>
      <w:r w:rsidRPr="00A77BD5">
        <w:rPr>
          <w:rFonts w:ascii="Times New Roman" w:hAnsi="Times New Roman"/>
        </w:rPr>
        <w:t xml:space="preserve">onsequently crises often generate proposals for systemic change and sometimes create space for radical ideational change. </w:t>
      </w:r>
    </w:p>
    <w:p w14:paraId="6305A381" w14:textId="37CB99C5" w:rsidR="001E1F6C" w:rsidRPr="00A77BD5" w:rsidRDefault="001E1F6C" w:rsidP="004F7552">
      <w:pPr>
        <w:spacing w:line="360" w:lineRule="auto"/>
        <w:ind w:firstLine="720"/>
        <w:rPr>
          <w:rFonts w:ascii="Times New Roman" w:hAnsi="Times New Roman"/>
        </w:rPr>
      </w:pPr>
      <w:r w:rsidRPr="00A77BD5">
        <w:rPr>
          <w:rFonts w:ascii="Times New Roman" w:hAnsi="Times New Roman"/>
        </w:rPr>
        <w:t>The emergence of the Bretton Woods institutions (BWIs), the International Monetary Fund (IMF) and World Bank, and the associated Bretton Woods order in the closing moments of World War II is the archetype of</w:t>
      </w:r>
      <w:r w:rsidR="00361847" w:rsidRPr="00A77BD5">
        <w:rPr>
          <w:rFonts w:ascii="Times New Roman" w:hAnsi="Times New Roman"/>
        </w:rPr>
        <w:t xml:space="preserve"> crisis-induced change, though </w:t>
      </w:r>
      <w:r w:rsidRPr="00A77BD5">
        <w:rPr>
          <w:rFonts w:ascii="Times New Roman" w:hAnsi="Times New Roman"/>
        </w:rPr>
        <w:t xml:space="preserve">transformation was slower and more contested than commonly understood </w:t>
      </w:r>
      <w:r w:rsidR="00891F56">
        <w:rPr>
          <w:rFonts w:ascii="Times New Roman" w:hAnsi="Times New Roman"/>
        </w:rPr>
        <w:fldChar w:fldCharType="begin"/>
      </w:r>
      <w:r w:rsidR="00891F56">
        <w:rPr>
          <w:rFonts w:ascii="Times New Roman" w:hAnsi="Times New Roman"/>
        </w:rPr>
        <w:instrText xml:space="preserve"> ADDIN EN.CITE &lt;EndNote&gt;&lt;Cite&gt;&lt;Author&gt;Helleiner&lt;/Author&gt;&lt;Year&gt;2016&lt;/Year&gt;&lt;RecNum&gt;1873&lt;/RecNum&gt;&lt;DisplayText&gt;(Helleiner 2016a)&lt;/DisplayText&gt;&lt;record&gt;&lt;rec-number&gt;1873&lt;/rec-number&gt;&lt;foreign-keys&gt;&lt;key app="EN" db-id="x2xf5e95kefpz8e59fcx5psgerr9wepetvet" timestamp="1482251599"&gt;1873&lt;/key&gt;&lt;/foreign-keys&gt;&lt;ref-type name="Book Section"&gt;5&lt;/ref-type&gt;&lt;contributors&gt;&lt;authors&gt;&lt;author&gt;Helleiner, Eric&lt;/author&gt;&lt;/authors&gt;&lt;secondary-authors&gt;&lt;author&gt;Fioretos, Orfeo&lt;/author&gt;&lt;author&gt;Falleti, Tulia G.&lt;/author&gt;&lt;author&gt;Sheingate, Adam&lt;/author&gt;&lt;/secondary-authors&gt;&lt;/contributors&gt;&lt;titles&gt;&lt;title&gt;Incremental Origins of Bretton Woods&lt;/title&gt;&lt;secondary-title&gt;Oxford Handbook of Historical Institutionalism&lt;/secondary-title&gt;&lt;/titles&gt;&lt;pages&gt;627-41&lt;/pages&gt;&lt;dates&gt;&lt;year&gt;2016&lt;/year&gt;&lt;/dates&gt;&lt;pub-location&gt;Oxford&lt;/pub-location&gt;&lt;publisher&gt;Oxford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(Helleiner 2016a)</w:t>
      </w:r>
      <w:r w:rsidR="00891F56">
        <w:rPr>
          <w:rFonts w:ascii="Times New Roman" w:hAnsi="Times New Roman"/>
        </w:rPr>
        <w:fldChar w:fldCharType="end"/>
      </w:r>
      <w:r w:rsidRPr="00A77BD5">
        <w:rPr>
          <w:rFonts w:ascii="Times New Roman" w:hAnsi="Times New Roman"/>
        </w:rPr>
        <w:t>. The crisis of the 1970s and the developing co</w:t>
      </w:r>
      <w:r w:rsidR="004E640E" w:rsidRPr="00A77BD5">
        <w:rPr>
          <w:rFonts w:ascii="Times New Roman" w:hAnsi="Times New Roman"/>
        </w:rPr>
        <w:t>untry debt crisis of the</w:t>
      </w:r>
      <w:r w:rsidR="00F41FBA">
        <w:rPr>
          <w:rFonts w:ascii="Times New Roman" w:hAnsi="Times New Roman"/>
        </w:rPr>
        <w:t xml:space="preserve"> </w:t>
      </w:r>
      <w:r w:rsidRPr="00A77BD5">
        <w:rPr>
          <w:rFonts w:ascii="Times New Roman" w:hAnsi="Times New Roman"/>
        </w:rPr>
        <w:t>1980s</w:t>
      </w:r>
      <w:r w:rsidR="008B39F3" w:rsidRPr="00A77BD5">
        <w:rPr>
          <w:rFonts w:ascii="Times New Roman" w:hAnsi="Times New Roman"/>
        </w:rPr>
        <w:t xml:space="preserve"> </w:t>
      </w:r>
      <w:r w:rsidR="003F7DDA">
        <w:rPr>
          <w:rFonts w:ascii="Times New Roman" w:hAnsi="Times New Roman"/>
        </w:rPr>
        <w:t>generated demands for ‘South-South’</w:t>
      </w:r>
      <w:r w:rsidRPr="00A77BD5">
        <w:rPr>
          <w:rFonts w:ascii="Times New Roman" w:hAnsi="Times New Roman"/>
        </w:rPr>
        <w:t xml:space="preserve"> development institutions that would be largely autonomous from the BWIs. The Mexican and East Asian (hereafter Asian) financial crises of the 1990s focused attention on the deficiencies of the BWIs and the broader inadequacies of the glob</w:t>
      </w:r>
      <w:r w:rsidR="000F2D5D" w:rsidRPr="00A77BD5">
        <w:rPr>
          <w:rFonts w:ascii="Times New Roman" w:hAnsi="Times New Roman"/>
        </w:rPr>
        <w:t>al financial architecture (GFA)</w:t>
      </w:r>
      <w:r w:rsidRPr="00A77BD5">
        <w:rPr>
          <w:rFonts w:ascii="Times New Roman" w:hAnsi="Times New Roman"/>
        </w:rPr>
        <w:t xml:space="preserve">. Most notable among the proposals stimulated by the crises of the 1990s was </w:t>
      </w:r>
      <w:r w:rsidR="00CA37DF" w:rsidRPr="00A77BD5">
        <w:rPr>
          <w:rFonts w:ascii="Times New Roman" w:hAnsi="Times New Roman"/>
        </w:rPr>
        <w:t xml:space="preserve">a quickly aborted </w:t>
      </w:r>
      <w:r w:rsidRPr="00A77BD5">
        <w:rPr>
          <w:rFonts w:ascii="Times New Roman" w:hAnsi="Times New Roman"/>
        </w:rPr>
        <w:t xml:space="preserve">one for an Asian alternative to the IMF. After the Asian crisis the focus on regional architectures extended beyond the region. For example, the United Nations (UN) argued for a multi-layered GFA in which regional and sub-regional institutions play a greater role </w:t>
      </w:r>
      <w:r w:rsidR="00891F56">
        <w:rPr>
          <w:rFonts w:ascii="Times New Roman" w:hAnsi="Times New Roman"/>
        </w:rPr>
        <w:fldChar w:fldCharType="begin"/>
      </w:r>
      <w:r w:rsidR="00891F56">
        <w:rPr>
          <w:rFonts w:ascii="Times New Roman" w:hAnsi="Times New Roman"/>
        </w:rPr>
        <w:instrText xml:space="preserve"> ADDIN EN.CITE &lt;EndNote&gt;&lt;Cite&gt;&lt;Author&gt;UN&lt;/Author&gt;&lt;Year&gt;2002&lt;/Year&gt;&lt;RecNum&gt;511&lt;/RecNum&gt;&lt;Pages&gt;par45&lt;/Pages&gt;&lt;DisplayText&gt;(UN 2002, par45)&lt;/DisplayText&gt;&lt;record&gt;&lt;rec-number&gt;511&lt;/rec-number&gt;&lt;foreign-keys&gt;&lt;key app="EN" db-id="x2xf5e95kefpz8e59fcx5psgerr9wepetvet" timestamp="1427575922"&gt;511&lt;/key&gt;&lt;/foreign-keys&gt;&lt;ref-type name="Report"&gt;27&lt;/ref-type&gt;&lt;contributors&gt;&lt;authors&gt;&lt;author&gt;UN&lt;/author&gt;&lt;/authors&gt;&lt;/contributors&gt;&lt;titles&gt;&lt;title&gt;Monterrey Consensus of the International Conference on Financing for Development: The Final Text of Agreements and Commitments Adopted at the International Conference on Financing for Development. Monterrey, March 18-22. http://www.un.org/esa/ffd/monterrey/MonterreyConsensus.pdf&lt;/title&gt;&lt;/titles&gt;&lt;dates&gt;&lt;year&gt;2002&lt;/year&gt;&lt;/dates&gt;&lt;urls&gt;&lt;/urls&gt;&lt;/record&gt;&lt;/Cite&gt;&lt;/EndNote&gt;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(UN 2002, par45)</w:t>
      </w:r>
      <w:r w:rsidR="00891F56">
        <w:rPr>
          <w:rFonts w:ascii="Times New Roman" w:hAnsi="Times New Roman"/>
        </w:rPr>
        <w:fldChar w:fldCharType="end"/>
      </w:r>
      <w:r w:rsidRPr="00A77BD5">
        <w:rPr>
          <w:rFonts w:ascii="Times New Roman" w:hAnsi="Times New Roman"/>
        </w:rPr>
        <w:t xml:space="preserve">. </w:t>
      </w:r>
    </w:p>
    <w:p w14:paraId="6A5E6D31" w14:textId="7EBD8E5A" w:rsidR="001E1F6C" w:rsidRPr="00A77BD5" w:rsidRDefault="001E1F6C" w:rsidP="004F7552">
      <w:pPr>
        <w:widowControl w:val="0"/>
        <w:autoSpaceDE w:val="0"/>
        <w:autoSpaceDN w:val="0"/>
        <w:adjustRightInd w:val="0"/>
        <w:spacing w:line="360" w:lineRule="auto"/>
        <w:ind w:firstLine="720"/>
        <w:rPr>
          <w:rFonts w:ascii="Times New Roman" w:hAnsi="Times New Roman"/>
        </w:rPr>
      </w:pPr>
      <w:r w:rsidRPr="00A77BD5">
        <w:rPr>
          <w:rFonts w:ascii="Times New Roman" w:hAnsi="Times New Roman"/>
        </w:rPr>
        <w:t>Enter the global financial crisis (GFC) that began in 2008. As the GFC deepened, prominent economists and other actors proposed systemic reform which entailed, inter alia, rebuilding the international monetary system from the bottom up through agreemen</w:t>
      </w:r>
      <w:r w:rsidR="007C28FE" w:rsidRPr="00A77BD5">
        <w:rPr>
          <w:rFonts w:ascii="Times New Roman" w:hAnsi="Times New Roman"/>
        </w:rPr>
        <w:t xml:space="preserve">ts among regional arrangements </w:t>
      </w:r>
      <w:r w:rsidR="00891F56">
        <w:rPr>
          <w:rFonts w:ascii="Times New Roman" w:hAnsi="Times New Roman"/>
        </w:rPr>
        <w:fldChar w:fldCharType="begin"/>
      </w:r>
      <w:r w:rsidR="00891F56">
        <w:rPr>
          <w:rFonts w:ascii="Times New Roman" w:hAnsi="Times New Roman"/>
        </w:rPr>
        <w:instrText xml:space="preserve"> ADDIN EN.CITE &lt;EndNote&gt;&lt;Cite&gt;&lt;Author&gt;UN&lt;/Author&gt;&lt;Year&gt;2009&lt;/Year&gt;&lt;RecNum&gt;513&lt;/RecNum&gt;&lt;Pages&gt;chs. 4-5&lt;/Pages&gt;&lt;DisplayText&gt;(UN 2009, chs. 4-5, 2014)&lt;/DisplayText&gt;&lt;record&gt;&lt;rec-number&gt;513&lt;/rec-number&gt;&lt;foreign-keys&gt;&lt;key app="EN" db-id="x2xf5e95kefpz8e59fcx5psgerr9wepetvet" timestamp="1427576998"&gt;513&lt;/key&gt;&lt;/foreign-keys&gt;&lt;ref-type name="Report"&gt;27&lt;/ref-type&gt;&lt;contributors&gt;&lt;authors&gt;&lt;author&gt;UN&lt;/author&gt;&lt;/authors&gt;&lt;/contributors&gt;&lt;titles&gt;&lt;title&gt;Report of the Commission of Experts of the President of the United Nations General Assembly on Reforms of the International Monetary and Financial System. New York: United Nations, September 21. http://www.un.org/ga/econcrisissummit/docs/FinalReport_CoE.pdf&lt;/title&gt;&lt;/titles&gt;&lt;dates&gt;&lt;year&gt;2009&lt;/year&gt;&lt;/dates&gt;&lt;urls&gt;&lt;/urls&gt;&lt;/record&gt;&lt;/Cite&gt;&lt;Cite&gt;&lt;Author&gt;UN&lt;/Author&gt;&lt;Year&gt;2014&lt;/Year&gt;&lt;RecNum&gt;516&lt;/RecNum&gt;&lt;record&gt;&lt;rec-number&gt;516&lt;/rec-number&gt;&lt;foreign-keys&gt;&lt;key app="EN" db-id="x2xf5e95kefpz8e59fcx5psgerr9wepetvet" timestamp="1427585743"&gt;516&lt;/key&gt;&lt;/foreign-keys&gt;&lt;ref-type name="Report"&gt;27&lt;/ref-type&gt;&lt;contributors&gt;&lt;authors&gt;&lt;author&gt;UN&lt;/author&gt;&lt;/authors&gt;&lt;/contributors&gt;&lt;titles&gt;&lt;title&gt;Report of the Intergovernmental Committee of Experts on Sustainable Development Financing. New York: United Nations, August 8. https://sustainabledevelopment.un.org/content/documents/4588FINAL%20REPORT%20ICESDF.pdf&lt;/title&gt;&lt;/titles&gt;&lt;dates&gt;&lt;year&gt;2014&lt;/year&gt;&lt;/dates&gt;&lt;urls&gt;&lt;/urls&gt;&lt;/record&gt;&lt;/Cite&gt;&lt;/EndNote&gt;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(UN 2009, chs. 4-5, 2014)</w:t>
      </w:r>
      <w:r w:rsidR="00891F56">
        <w:rPr>
          <w:rFonts w:ascii="Times New Roman" w:hAnsi="Times New Roman"/>
        </w:rPr>
        <w:fldChar w:fldCharType="end"/>
      </w:r>
      <w:r w:rsidR="00EB56AB">
        <w:rPr>
          <w:rFonts w:ascii="Times New Roman" w:hAnsi="Times New Roman"/>
        </w:rPr>
        <w:t>; introducing a ‘</w:t>
      </w:r>
      <w:r w:rsidRPr="00A77BD5">
        <w:rPr>
          <w:rFonts w:ascii="Times New Roman" w:hAnsi="Times New Roman"/>
        </w:rPr>
        <w:t>s</w:t>
      </w:r>
      <w:r w:rsidR="00EB56AB">
        <w:rPr>
          <w:rFonts w:ascii="Times New Roman" w:hAnsi="Times New Roman"/>
        </w:rPr>
        <w:t>uper-sovereign reserve currency’</w:t>
      </w:r>
      <w:r w:rsidRPr="00A77BD5">
        <w:rPr>
          <w:rFonts w:ascii="Times New Roman" w:hAnsi="Times New Roman"/>
        </w:rPr>
        <w:t xml:space="preserve"> modeled on the IMF’s Special Drawing Right (SDR) </w:t>
      </w:r>
      <w:r w:rsidR="00891F56">
        <w:rPr>
          <w:rFonts w:ascii="Times New Roman" w:hAnsi="Times New Roman"/>
        </w:rPr>
        <w:fldChar w:fldCharType="begin"/>
      </w:r>
      <w:r w:rsidR="00891F56">
        <w:rPr>
          <w:rFonts w:ascii="Times New Roman" w:hAnsi="Times New Roman"/>
        </w:rPr>
        <w:instrText xml:space="preserve"> ADDIN EN.CITE &lt;EndNote&gt;&lt;Cite&gt;&lt;Author&gt;Zhou&lt;/Author&gt;&lt;Year&gt;2009&lt;/Year&gt;&lt;RecNum&gt;1812&lt;/RecNum&gt;&lt;DisplayText&gt;(Zhou 2009)&lt;/DisplayText&gt;&lt;record&gt;&lt;rec-number&gt;1812&lt;/rec-number&gt;&lt;foreign-keys&gt;&lt;key app="EN" db-id="x2xf5e95kefpz8e59fcx5psgerr9wepetvet" timestamp="1480184073"&gt;1812&lt;/key&gt;&lt;/foreign-keys&gt;&lt;ref-type name="Journal Article"&gt;17&lt;/ref-type&gt;&lt;contributors&gt;&lt;authors&gt;&lt;author&gt;Zhou, Xiaochuan&lt;/author&gt;&lt;/authors&gt;&lt;/contributors&gt;&lt;titles&gt;&lt;title&gt;Reform the International Monetary System&lt;/title&gt;&lt;secondary-title&gt;Bank for International Settlements Review&lt;/secondary-title&gt;&lt;/titles&gt;&lt;periodical&gt;&lt;full-title&gt;Bank for International Settlements Review&lt;/full-title&gt;&lt;/periodical&gt;&lt;pages&gt;1-3&lt;/pages&gt;&lt;volume&gt;41&lt;/volume&gt;&lt;dates&gt;&lt;year&gt;2009&lt;/year&gt;&lt;pub-dates&gt;&lt;date&gt;March 23&lt;/date&gt;&lt;/pub-dates&gt;&lt;/dates&gt;&lt;urls&gt;&lt;related-urls&gt;&lt;url&gt; http://www.bis.org/review/r090402c.pdf&lt;/url&gt;&lt;/related-urls&gt;&lt;/urls&gt;&lt;/record&gt;&lt;/Cite&gt;&lt;/EndNote&gt;</w:instrText>
      </w:r>
      <w:r w:rsidR="00891F56">
        <w:rPr>
          <w:rFonts w:ascii="Times New Roman" w:hAnsi="Times New Roman"/>
        </w:rPr>
        <w:fldChar w:fldCharType="separate"/>
      </w:r>
      <w:r w:rsidR="00891F56">
        <w:rPr>
          <w:rFonts w:ascii="Times New Roman" w:hAnsi="Times New Roman"/>
          <w:noProof/>
        </w:rPr>
        <w:t>(Zhou 2009)</w:t>
      </w:r>
      <w:r w:rsidR="00891F56">
        <w:rPr>
          <w:rFonts w:ascii="Times New Roman" w:hAnsi="Times New Roman"/>
        </w:rPr>
        <w:fldChar w:fldCharType="end"/>
      </w:r>
      <w:r w:rsidRPr="00A77BD5">
        <w:rPr>
          <w:rFonts w:ascii="Times New Roman" w:hAnsi="Times New Roman"/>
        </w:rPr>
        <w:t xml:space="preserve">; </w:t>
      </w:r>
      <w:r w:rsidR="00CA25CE" w:rsidRPr="00A77BD5">
        <w:rPr>
          <w:rFonts w:ascii="Times New Roman" w:hAnsi="Times New Roman"/>
        </w:rPr>
        <w:t xml:space="preserve">and </w:t>
      </w:r>
      <w:r w:rsidR="00A25592">
        <w:rPr>
          <w:rFonts w:ascii="Times New Roman" w:hAnsi="Times New Roman"/>
        </w:rPr>
        <w:t>a ‘New Bretton Woods’</w:t>
      </w:r>
      <w:r w:rsidRPr="00A77BD5">
        <w:rPr>
          <w:rFonts w:ascii="Times New Roman" w:hAnsi="Times New Roman"/>
        </w:rPr>
        <w:t xml:space="preserve"> to promote new thinking and international coordination </w:t>
      </w:r>
      <w:r w:rsidR="00891F56">
        <w:rPr>
          <w:rFonts w:ascii="Times New Roman" w:hAnsi="Times New Roman"/>
        </w:rPr>
        <w:fldChar w:fldCharType="begin"/>
      </w:r>
      <w:r w:rsidR="00891F56">
        <w:rPr>
          <w:rFonts w:ascii="Times New Roman" w:hAnsi="Times New Roman"/>
        </w:rPr>
        <w:instrText xml:space="preserve"> ADDIN EN.CITE &lt;EndNote&gt;&lt;Cite&gt;&lt;Author&gt;Parker&lt;/Author&gt;&lt;Year&gt;2008&lt;/Year&gt;&lt;RecNum&gt;515&lt;/RecNum&gt;&lt;DisplayText&gt;(Parker, Barber, and Dombey 2008)&lt;/DisplayText&gt;&lt;record&gt;&lt;rec-number&gt;515&lt;/rec-number&gt;&lt;foreign-keys&gt;&lt;key app="EN" db-id="x2xf5e95kefpz8e59fcx5psgerr9wepetvet" timestamp="1427578639"&gt;515&lt;/key&gt;&lt;/foreign-keys&gt;&lt;ref-type name="Newspaper Article"&gt;23&lt;/ref-type&gt;&lt;contributors&gt;&lt;authors&gt;&lt;author&gt;Parker, George&lt;/author&gt;&lt;author&gt;Tony Barber&lt;/author&gt;&lt;author&gt;Daniel Dombey&lt;/author&gt;&lt;/authors&gt;&lt;/contributors&gt;&lt;titles&gt;&lt;title&gt;European Call for &amp;apos;Bretton Woods II&amp;apos;&lt;/title&gt;&lt;secondary-title&gt;Financial Times&lt;/secondary-title&gt;&lt;/titles&gt;&lt;periodical&gt;&lt;full-title&gt;Financial Times&lt;/full-title&gt;&lt;/periodical&gt;&lt;dates&gt;&lt;year&gt;2008&lt;/year&gt;&lt;pub-dates&gt;&lt;date&gt;October 16&lt;/date&gt;&lt;/pub-dates&gt;&lt;/dates&gt;&lt;urls&gt;&lt;related-urls&gt;&lt;url&gt;http://www.ft.com/intl/cms/s/0/7cc16b54-9b19-11dd-a653-000077b07658.html?siteedition=intl#axzz3ViaP9QQb&lt;/url&gt;&lt;/related-urls&gt;&lt;/urls&gt;&lt;/record&gt;&lt;/Cite&gt;&lt;/EndNote&gt;</w:instrText>
      </w:r>
      <w:r w:rsidR="00891F56">
        <w:rPr>
          <w:rFonts w:ascii="Times New Roman" w:hAnsi="Times New Roman"/>
        </w:rPr>
        <w:fldChar w:fldCharType="separate"/>
      </w:r>
      <w:r w:rsidR="00891F56">
        <w:rPr>
          <w:rFonts w:ascii="Times New Roman" w:hAnsi="Times New Roman"/>
          <w:noProof/>
        </w:rPr>
        <w:t>(Parker, Barber, and Dombey 2008)</w:t>
      </w:r>
      <w:r w:rsidR="00891F56">
        <w:rPr>
          <w:rFonts w:ascii="Times New Roman" w:hAnsi="Times New Roman"/>
        </w:rPr>
        <w:fldChar w:fldCharType="end"/>
      </w:r>
      <w:r w:rsidR="00CA25CE" w:rsidRPr="00A77BD5">
        <w:rPr>
          <w:rFonts w:ascii="Times New Roman" w:hAnsi="Times New Roman"/>
        </w:rPr>
        <w:t>. R</w:t>
      </w:r>
      <w:r w:rsidRPr="00A77BD5">
        <w:rPr>
          <w:rFonts w:ascii="Times New Roman" w:hAnsi="Times New Roman"/>
        </w:rPr>
        <w:t xml:space="preserve">epresentatives of the BRICS (Brazil, Russia, India, China, and South Africa) argued that the BWIs lacked legitimacy and did not reflect the dispersal in power associated with the rise of the global South and East </w:t>
      </w:r>
      <w:r w:rsidR="00891F56">
        <w:rPr>
          <w:rFonts w:ascii="Times New Roman" w:hAnsi="Times New Roman"/>
        </w:rPr>
        <w:fldChar w:fldCharType="begin"/>
      </w:r>
      <w:r w:rsidR="00891F56">
        <w:rPr>
          <w:rFonts w:ascii="Times New Roman" w:hAnsi="Times New Roman"/>
        </w:rPr>
        <w:instrText xml:space="preserve"> ADDIN EN.CITE &lt;EndNote&gt;&lt;Cite&gt;&lt;Author&gt;Chin&lt;/Author&gt;&lt;Year&gt;2014&lt;/Year&gt;&lt;RecNum&gt;514&lt;/RecNum&gt;&lt;DisplayText&gt;(Chin 2014)&lt;/DisplayText&gt;&lt;record&gt;&lt;rec-number&gt;514&lt;/rec-number&gt;&lt;foreign-keys&gt;&lt;key app="EN" db-id="x2xf5e95kefpz8e59fcx5psgerr9wepetvet" timestamp="1427577487"&gt;514&lt;/key&gt;&lt;/foreign-keys&gt;&lt;ref-type name="Book Section"&gt;5&lt;/ref-type&gt;&lt;contributors&gt;&lt;authors&gt;&lt;author&gt;Chin, Gregory&lt;/author&gt;&lt;/authors&gt;&lt;secondary-authors&gt;&lt;author&gt;Helleiner, Eric&lt;/author&gt;&lt;author&gt;Kirshner, Jonathan&lt;/author&gt;&lt;/secondary-authors&gt;&lt;/contributors&gt;&lt;titles&gt;&lt;title&gt;China&amp;apos;s Rising Monetary Power&lt;/title&gt;&lt;secondary-title&gt;The Great Wall of Money&lt;/secondary-title&gt;&lt;/titles&gt;&lt;pages&gt;184-263&lt;/pages&gt;&lt;dates&gt;&lt;year&gt;2014&lt;/year&gt;&lt;/dates&gt;&lt;pub-location&gt;Ithaca, NY&lt;/pub-location&gt;&lt;publisher&gt;Cornell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(Chin 2014)</w:t>
      </w:r>
      <w:r w:rsidR="00891F56">
        <w:rPr>
          <w:rFonts w:ascii="Times New Roman" w:hAnsi="Times New Roman"/>
        </w:rPr>
        <w:fldChar w:fldCharType="end"/>
      </w:r>
      <w:r w:rsidRPr="00A77BD5">
        <w:rPr>
          <w:rFonts w:ascii="Times New Roman" w:hAnsi="Times New Roman"/>
        </w:rPr>
        <w:t xml:space="preserve">. Building on </w:t>
      </w:r>
      <w:r w:rsidR="000B2335" w:rsidRPr="00A77BD5">
        <w:rPr>
          <w:rFonts w:ascii="Times New Roman" w:hAnsi="Times New Roman"/>
        </w:rPr>
        <w:t>earlier work</w:t>
      </w:r>
      <w:r w:rsidRPr="00A77BD5">
        <w:rPr>
          <w:rFonts w:ascii="Times New Roman" w:hAnsi="Times New Roman"/>
        </w:rPr>
        <w:t xml:space="preserve">, </w:t>
      </w:r>
      <w:proofErr w:type="spellStart"/>
      <w:r w:rsidRPr="00A77BD5">
        <w:rPr>
          <w:rFonts w:ascii="Times New Roman" w:hAnsi="Times New Roman"/>
        </w:rPr>
        <w:t>Ocampo</w:t>
      </w:r>
      <w:proofErr w:type="spellEnd"/>
      <w:r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ExcludeAuth="1"&gt;&lt;Author&gt;Ocampo&lt;/Author&gt;&lt;Year&gt;2006&lt;/Year&gt;&lt;RecNum&gt;965&lt;/RecNum&gt;&lt;DisplayText&gt;(2006, 2017, ch. 6)&lt;/DisplayText&gt;&lt;record&gt;&lt;rec-number&gt;965&lt;/rec-number&gt;&lt;foreign-keys&gt;&lt;key app="EN" db-id="x2xf5e95kefpz8e59fcx5psgerr9wepetvet" timestamp="1428516396"&gt;965&lt;/key&gt;&lt;/foreign-keys&gt;&lt;ref-type name="Book Section"&gt;5&lt;/ref-type&gt;&lt;contributors&gt;&lt;authors&gt;&lt;author&gt;Ocampo, José Antonio&lt;/author&gt;&lt;/authors&gt;&lt;secondary-authors&gt;&lt;author&gt;Ocampo, José Antonio&lt;/author&gt;&lt;/secondary-authors&gt;&lt;/contributors&gt;&lt;titles&gt;&lt;title&gt;Regional Financial Cooperation: Experiences and Challenges&lt;/title&gt;&lt;secondary-title&gt;Regional Financial Cooperation&lt;/secondary-title&gt;&lt;/titles&gt;&lt;pages&gt;1-39&lt;/pages&gt;&lt;dates&gt;&lt;year&gt;2006&lt;/year&gt;&lt;/dates&gt;&lt;pub-location&gt;Washington, DC&lt;/pub-location&gt;&lt;publisher&gt;Brookings Institution&lt;/publisher&gt;&lt;urls&gt;&lt;/urls&gt;&lt;/record&gt;&lt;/Cite&gt;&lt;Cite ExcludeAuth="1"&gt;&lt;Author&gt;Ocampo&lt;/Author&gt;&lt;Year&gt;2017&lt;/Year&gt;&lt;RecNum&gt;1950&lt;/RecNum&gt;&lt;Pages&gt;ch. 6&lt;/Pages&gt;&lt;record&gt;&lt;rec-number&gt;1950&lt;/rec-number&gt;&lt;foreign-keys&gt;&lt;key app="EN" db-id="x2xf5e95kefpz8e59fcx5psgerr9wepetvet" timestamp="1532298561"&gt;1950&lt;/key&gt;&lt;/foreign-keys&gt;&lt;ref-type name="Book"&gt;6&lt;/ref-type&gt;&lt;contributors&gt;&lt;authors&gt;&lt;author&gt;Ocampo, José Antonio&lt;/author&gt;&lt;/authors&gt;&lt;/contributors&gt;&lt;titles&gt;&lt;title&gt;Resetting the International Monetary (Non)system&lt;/title&gt;&lt;/titles&gt;&lt;dates&gt;&lt;year&gt;2017&lt;/year&gt;&lt;/dates&gt;&lt;publisher&gt;Oxford University Press&lt;/publisher&gt;&lt;isbn&gt;9780191787478&lt;/isbn&gt;&lt;urls&gt;&lt;related-urls&gt;&lt;url&gt;https://books.google.com/books?id=26RIswEACAAJ&lt;/url&gt;&lt;/related-urls&gt;&lt;/urls&gt;&lt;/record&gt;&lt;/Cite&gt;&lt;/EndNote&gt;</w:instrText>
      </w:r>
      <w:r w:rsidR="00891F56">
        <w:rPr>
          <w:rFonts w:ascii="Times New Roman" w:hAnsi="Times New Roman"/>
        </w:rPr>
        <w:fldChar w:fldCharType="separate"/>
      </w:r>
      <w:r w:rsidR="00891F56">
        <w:rPr>
          <w:rFonts w:ascii="Times New Roman" w:hAnsi="Times New Roman"/>
          <w:noProof/>
        </w:rPr>
        <w:t>(2006, 2017, ch. 6)</w:t>
      </w:r>
      <w:r w:rsidR="00891F56">
        <w:rPr>
          <w:rFonts w:ascii="Times New Roman" w:hAnsi="Times New Roman"/>
        </w:rPr>
        <w:fldChar w:fldCharType="end"/>
      </w:r>
      <w:r w:rsidRPr="00A77BD5">
        <w:rPr>
          <w:rFonts w:ascii="Times New Roman" w:hAnsi="Times New Roman"/>
        </w:rPr>
        <w:t xml:space="preserve"> argued for </w:t>
      </w:r>
      <w:r w:rsidR="008B4F09" w:rsidRPr="00A77BD5">
        <w:rPr>
          <w:rFonts w:ascii="Times New Roman" w:hAnsi="Times New Roman"/>
        </w:rPr>
        <w:t xml:space="preserve">systemic </w:t>
      </w:r>
      <w:r w:rsidRPr="00A77BD5">
        <w:rPr>
          <w:rFonts w:ascii="Times New Roman" w:hAnsi="Times New Roman"/>
        </w:rPr>
        <w:t xml:space="preserve">reconstruction </w:t>
      </w:r>
      <w:r w:rsidR="000B2335" w:rsidRPr="00A77BD5">
        <w:rPr>
          <w:rFonts w:ascii="Times New Roman" w:hAnsi="Times New Roman"/>
        </w:rPr>
        <w:t xml:space="preserve">involving </w:t>
      </w:r>
      <w:r w:rsidRPr="00A77BD5">
        <w:rPr>
          <w:rFonts w:ascii="Times New Roman" w:hAnsi="Times New Roman"/>
        </w:rPr>
        <w:t xml:space="preserve">a multi-tiered, layered </w:t>
      </w:r>
      <w:r w:rsidR="000E011A" w:rsidRPr="00A77BD5">
        <w:rPr>
          <w:rFonts w:ascii="Times New Roman" w:hAnsi="Times New Roman"/>
        </w:rPr>
        <w:t xml:space="preserve">GFA with a </w:t>
      </w:r>
      <w:r w:rsidRPr="00A77BD5">
        <w:rPr>
          <w:rFonts w:ascii="Times New Roman" w:hAnsi="Times New Roman"/>
        </w:rPr>
        <w:t>representative G</w:t>
      </w:r>
      <w:r w:rsidR="00AD63EE" w:rsidRPr="00A77BD5">
        <w:rPr>
          <w:rFonts w:ascii="Times New Roman" w:hAnsi="Times New Roman"/>
        </w:rPr>
        <w:t>roup</w:t>
      </w:r>
      <w:r w:rsidRPr="00A77BD5">
        <w:rPr>
          <w:rFonts w:ascii="Times New Roman" w:hAnsi="Times New Roman"/>
        </w:rPr>
        <w:t xml:space="preserve"> of 20 (G-20), BWIs that reflect EMDE voices, and regional and sub-</w:t>
      </w:r>
      <w:r w:rsidR="00076998" w:rsidRPr="00A77BD5">
        <w:rPr>
          <w:rFonts w:ascii="Times New Roman" w:hAnsi="Times New Roman"/>
        </w:rPr>
        <w:t>regional financial institutions mediating</w:t>
      </w:r>
      <w:r w:rsidRPr="00A77BD5">
        <w:rPr>
          <w:rFonts w:ascii="Times New Roman" w:hAnsi="Times New Roman"/>
        </w:rPr>
        <w:t xml:space="preserve"> between global and national institutions and regulatory bodies.</w:t>
      </w:r>
      <w:r w:rsidRPr="00A77BD5">
        <w:rPr>
          <w:rStyle w:val="FootnoteReference"/>
          <w:rFonts w:ascii="Times New Roman" w:hAnsi="Times New Roman"/>
          <w:vertAlign w:val="baseline"/>
        </w:rPr>
        <w:t xml:space="preserve"> </w:t>
      </w:r>
      <w:r w:rsidR="00A0749B" w:rsidRPr="00A77BD5">
        <w:rPr>
          <w:rFonts w:ascii="Times New Roman" w:hAnsi="Times New Roman"/>
        </w:rPr>
        <w:t>R</w:t>
      </w:r>
      <w:r w:rsidRPr="00A77BD5">
        <w:rPr>
          <w:rFonts w:ascii="Times New Roman" w:hAnsi="Times New Roman"/>
        </w:rPr>
        <w:t xml:space="preserve">egional </w:t>
      </w:r>
      <w:r w:rsidR="001E5E6F" w:rsidRPr="00A77BD5">
        <w:rPr>
          <w:rFonts w:ascii="Times New Roman" w:hAnsi="Times New Roman"/>
        </w:rPr>
        <w:t>institutions received support from</w:t>
      </w:r>
      <w:r w:rsidRPr="00A77BD5">
        <w:rPr>
          <w:rFonts w:ascii="Times New Roman" w:hAnsi="Times New Roman"/>
        </w:rPr>
        <w:t xml:space="preserve"> other quarters. In contradistinction to its hostility toward the A</w:t>
      </w:r>
      <w:r w:rsidR="005938B4">
        <w:rPr>
          <w:rFonts w:ascii="Times New Roman" w:hAnsi="Times New Roman"/>
        </w:rPr>
        <w:t xml:space="preserve">sian </w:t>
      </w:r>
      <w:r w:rsidRPr="00A77BD5">
        <w:rPr>
          <w:rFonts w:ascii="Times New Roman" w:hAnsi="Times New Roman"/>
        </w:rPr>
        <w:t>M</w:t>
      </w:r>
      <w:r w:rsidR="005938B4">
        <w:rPr>
          <w:rFonts w:ascii="Times New Roman" w:hAnsi="Times New Roman"/>
        </w:rPr>
        <w:t xml:space="preserve">onetary </w:t>
      </w:r>
      <w:r w:rsidRPr="00A77BD5">
        <w:rPr>
          <w:rFonts w:ascii="Times New Roman" w:hAnsi="Times New Roman"/>
        </w:rPr>
        <w:t>F</w:t>
      </w:r>
      <w:r w:rsidR="005938B4">
        <w:rPr>
          <w:rFonts w:ascii="Times New Roman" w:hAnsi="Times New Roman"/>
        </w:rPr>
        <w:t>und (AMF)</w:t>
      </w:r>
      <w:r w:rsidRPr="00A77BD5">
        <w:rPr>
          <w:rFonts w:ascii="Times New Roman" w:hAnsi="Times New Roman"/>
        </w:rPr>
        <w:t xml:space="preserve"> during the Asian crisis, IMF Managing Director Strauss-</w:t>
      </w:r>
      <w:r w:rsidR="004D6008" w:rsidRPr="00A77BD5">
        <w:rPr>
          <w:rFonts w:ascii="Times New Roman" w:hAnsi="Times New Roman"/>
        </w:rPr>
        <w:t>Kahn argued during the GFC for collaboration</w:t>
      </w:r>
      <w:r w:rsidRPr="00A77BD5">
        <w:rPr>
          <w:rFonts w:ascii="Times New Roman" w:hAnsi="Times New Roman"/>
        </w:rPr>
        <w:t xml:space="preserve"> with regional reserve pools</w:t>
      </w:r>
      <w:r w:rsidR="004D6008" w:rsidRPr="00A77BD5">
        <w:rPr>
          <w:rFonts w:ascii="Times New Roman" w:hAnsi="Times New Roman"/>
        </w:rPr>
        <w:t>, including</w:t>
      </w:r>
      <w:r w:rsidR="00A25592">
        <w:rPr>
          <w:rFonts w:ascii="Times New Roman" w:hAnsi="Times New Roman"/>
        </w:rPr>
        <w:t xml:space="preserve"> possible use of IMF resources ‘as a backstop to regional pools’</w:t>
      </w:r>
      <w:r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&lt;EndNote&gt;&lt;Cite&gt;&lt;Author&gt;Strauss-Kahn&lt;/Author&gt;&lt;Year&gt;2010&lt;/Year&gt;&lt;RecNum&gt;521&lt;/RecNum&gt;&lt;DisplayText&gt;(Strauss-Kahn 2010)&lt;/DisplayText&gt;&lt;record&gt;&lt;rec-number&gt;521&lt;/rec-number&gt;&lt;foreign-keys&gt;&lt;key app="EN" db-id="x2xf5e95kefpz8e59fcx5psgerr9wepetvet" timestamp="1427648548"&gt;521&lt;/key&gt;&lt;/foreign-keys&gt;&lt;ref-type name="Report"&gt;27&lt;/ref-type&gt;&lt;contributors&gt;&lt;authors&gt;&lt;author&gt;Strauss-Kahn, Dominique&lt;/author&gt;&lt;/authors&gt;&lt;/contributors&gt;&lt;titles&gt;&lt;title&gt;An IMF for the 21st Century. Address delivered at Bretton Woods Committee Annual Meeting, Washington, DC: International Monetary Fund, February 26. https://www.imf.org/external/np/speeches/2010/022610.htm&lt;/title&gt;&lt;/titles&gt;&lt;dates&gt;&lt;year&gt;2010&lt;/year&gt;&lt;/dates&gt;&lt;urls&gt;&lt;/urls&gt;&lt;/record&gt;&lt;/Cite&gt;&lt;/EndNote&gt;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(Strauss-Kahn 2010)</w:t>
      </w:r>
      <w:r w:rsidR="00891F56">
        <w:rPr>
          <w:rFonts w:ascii="Times New Roman" w:hAnsi="Times New Roman"/>
        </w:rPr>
        <w:fldChar w:fldCharType="end"/>
      </w:r>
      <w:r w:rsidRPr="00A77BD5">
        <w:rPr>
          <w:rFonts w:ascii="Times New Roman" w:hAnsi="Times New Roman"/>
        </w:rPr>
        <w:t>. The G-20</w:t>
      </w:r>
      <w:r w:rsidR="008707D2" w:rsidRPr="00A77BD5">
        <w:rPr>
          <w:rFonts w:ascii="Times New Roman" w:hAnsi="Times New Roman"/>
        </w:rPr>
        <w:t xml:space="preserve"> began to promote </w:t>
      </w:r>
      <w:r w:rsidRPr="00A77BD5">
        <w:rPr>
          <w:rFonts w:ascii="Times New Roman" w:hAnsi="Times New Roman"/>
        </w:rPr>
        <w:t xml:space="preserve">regional financial arrangements </w:t>
      </w:r>
      <w:r w:rsidR="00480DAD" w:rsidRPr="00A77BD5">
        <w:rPr>
          <w:rFonts w:ascii="Times New Roman" w:hAnsi="Times New Roman"/>
        </w:rPr>
        <w:t xml:space="preserve">in </w:t>
      </w:r>
      <w:r w:rsidR="008707D2" w:rsidRPr="00A77BD5">
        <w:rPr>
          <w:rFonts w:ascii="Times New Roman" w:hAnsi="Times New Roman"/>
        </w:rPr>
        <w:t>2009 and continued to do so over the next two years</w:t>
      </w:r>
      <w:r w:rsidR="001750C5" w:rsidRPr="00A77BD5">
        <w:rPr>
          <w:rFonts w:ascii="Times New Roman" w:hAnsi="Times New Roman"/>
        </w:rPr>
        <w:t xml:space="preserve">. </w:t>
      </w:r>
      <w:r w:rsidRPr="00A77BD5">
        <w:rPr>
          <w:rFonts w:ascii="Times New Roman" w:hAnsi="Times New Roman"/>
        </w:rPr>
        <w:t xml:space="preserve">Under Managing Director </w:t>
      </w:r>
      <w:proofErr w:type="spellStart"/>
      <w:r w:rsidRPr="00A77BD5">
        <w:rPr>
          <w:rFonts w:ascii="Times New Roman" w:hAnsi="Times New Roman"/>
        </w:rPr>
        <w:t>Lagarde</w:t>
      </w:r>
      <w:proofErr w:type="spellEnd"/>
      <w:r w:rsidRPr="00A77BD5">
        <w:rPr>
          <w:rFonts w:ascii="Times New Roman" w:hAnsi="Times New Roman"/>
        </w:rPr>
        <w:t xml:space="preserve"> the IMF continues to deepen engagement with regional and </w:t>
      </w:r>
      <w:proofErr w:type="spellStart"/>
      <w:r w:rsidRPr="00A77BD5">
        <w:rPr>
          <w:rFonts w:ascii="Times New Roman" w:hAnsi="Times New Roman"/>
        </w:rPr>
        <w:t>transregional</w:t>
      </w:r>
      <w:proofErr w:type="spellEnd"/>
      <w:r w:rsidRPr="00A77BD5">
        <w:rPr>
          <w:rFonts w:ascii="Times New Roman" w:hAnsi="Times New Roman"/>
        </w:rPr>
        <w:t xml:space="preserve"> </w:t>
      </w:r>
      <w:r w:rsidR="00A94077" w:rsidRPr="00A77BD5">
        <w:rPr>
          <w:rFonts w:ascii="Times New Roman" w:hAnsi="Times New Roman"/>
        </w:rPr>
        <w:t>institutions</w:t>
      </w:r>
      <w:r w:rsidRPr="00A77BD5">
        <w:rPr>
          <w:rFonts w:ascii="Times New Roman" w:hAnsi="Times New Roman"/>
        </w:rPr>
        <w:t xml:space="preserve"> by promoting communication among them and </w:t>
      </w:r>
      <w:r w:rsidR="00015046" w:rsidRPr="00A77BD5">
        <w:rPr>
          <w:rFonts w:ascii="Times New Roman" w:hAnsi="Times New Roman"/>
        </w:rPr>
        <w:t xml:space="preserve">with </w:t>
      </w:r>
      <w:r w:rsidRPr="00A77BD5">
        <w:rPr>
          <w:rFonts w:ascii="Times New Roman" w:hAnsi="Times New Roman"/>
        </w:rPr>
        <w:t>the IMF</w:t>
      </w:r>
      <w:r w:rsidR="00A94077" w:rsidRPr="00A77BD5">
        <w:rPr>
          <w:rFonts w:ascii="Times New Roman" w:hAnsi="Times New Roman"/>
        </w:rPr>
        <w:t xml:space="preserve"> and beginning discussion</w:t>
      </w:r>
      <w:r w:rsidR="00FC48F0" w:rsidRPr="00A77BD5">
        <w:rPr>
          <w:rFonts w:ascii="Times New Roman" w:hAnsi="Times New Roman"/>
        </w:rPr>
        <w:t>s</w:t>
      </w:r>
      <w:r w:rsidR="00A94077" w:rsidRPr="00A77BD5">
        <w:rPr>
          <w:rFonts w:ascii="Times New Roman" w:hAnsi="Times New Roman"/>
        </w:rPr>
        <w:t xml:space="preserve"> of </w:t>
      </w:r>
      <w:r w:rsidRPr="00A77BD5">
        <w:rPr>
          <w:rFonts w:ascii="Times New Roman" w:hAnsi="Times New Roman"/>
        </w:rPr>
        <w:t xml:space="preserve">coordination protocols and a Policy Coordination Instrument </w:t>
      </w:r>
      <w:r w:rsidR="00891F56">
        <w:rPr>
          <w:rFonts w:ascii="Times New Roman" w:hAnsi="Times New Roman"/>
        </w:rPr>
        <w:fldChar w:fldCharType="begin"/>
      </w:r>
      <w:r w:rsidR="00891F56">
        <w:rPr>
          <w:rFonts w:ascii="Times New Roman" w:hAnsi="Times New Roman"/>
        </w:rPr>
        <w:instrText xml:space="preserve"> ADDIN EN.CITE &lt;EndNote&gt;&lt;Cite&gt;&lt;Author&gt;IMF&lt;/Author&gt;&lt;Year&gt;2017&lt;/Year&gt;&lt;RecNum&gt;1948&lt;/RecNum&gt;&lt;DisplayText&gt;(IMF 2017b, a)&lt;/DisplayText&gt;&lt;record&gt;&lt;rec-number&gt;1948&lt;/rec-number&gt;&lt;foreign-keys&gt;&lt;key app="EN" db-id="x2xf5e95kefpz8e59fcx5psgerr9wepetvet" timestamp="1531868397"&gt;1948&lt;/key&gt;&lt;/foreign-keys&gt;&lt;ref-type name="Report"&gt;27&lt;/ref-type&gt;&lt;contributors&gt;&lt;authors&gt;&lt;author&gt;IMF&lt;/author&gt;&lt;/authors&gt;&lt;/contributors&gt;&lt;titles&gt;&lt;title&gt;Collaboration Between Regional Financing Arrangements and the IMF. Prepared by the Strategy, Policy, and Review Department, Washington, DC: International Monetary Fund, June 29. https://www.imf.org/~/media/Files/Publications/PP/2017/pp073117-collaboration-between-regional-financing-arrangements-and-the-imf.ashx&lt;/title&gt;&lt;/titles&gt;&lt;dates&gt;&lt;year&gt;2017&lt;/year&gt;&lt;/dates&gt;&lt;urls&gt;&lt;/urls&gt;&lt;/record&gt;&lt;/Cite&gt;&lt;Cite&gt;&lt;Author&gt;IMF&lt;/Author&gt;&lt;Year&gt;2017&lt;/Year&gt;&lt;RecNum&gt;1954&lt;/RecNum&gt;&lt;record&gt;&lt;rec-number&gt;1954&lt;/rec-number&gt;&lt;foreign-keys&gt;&lt;key app="EN" db-id="x2xf5e95kefpz8e59fcx5psgerr9wepetvet" timestamp="1532303267"&gt;1954&lt;/key&gt;&lt;/foreign-keys&gt;&lt;ref-type name="Report"&gt;27&lt;/ref-type&gt;&lt;contributors&gt;&lt;authors&gt;&lt;author&gt;IMF&lt;/author&gt;&lt;/authors&gt;&lt;/contributors&gt;&lt;titles&gt;&lt;title&gt;Adequacy of the Global Financial Safety Net--Proposal for a New Policy Coordination Instrument. IMF Policy Paper, Washington, DC: International Monetary Fund, July 26. https://www.imf.org/en/Publications/Policy-Papers/Issues/2017/07/26/pp072617-adequacy-of-the-global-financial-safety-net&lt;/title&gt;&lt;/titles&gt;&lt;dates&gt;&lt;year&gt;2017&lt;/year&gt;&lt;/dates&gt;&lt;urls&gt;&lt;/urls&gt;&lt;/record&gt;&lt;/Cite&gt;&lt;/EndNote&gt;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(IMF 2017b, a)</w:t>
      </w:r>
      <w:r w:rsidR="00891F56">
        <w:rPr>
          <w:rFonts w:ascii="Times New Roman" w:hAnsi="Times New Roman"/>
        </w:rPr>
        <w:fldChar w:fldCharType="end"/>
      </w:r>
      <w:r w:rsidRPr="00A77BD5">
        <w:rPr>
          <w:rFonts w:ascii="Times New Roman" w:hAnsi="Times New Roman"/>
        </w:rPr>
        <w:t xml:space="preserve">. </w:t>
      </w:r>
    </w:p>
    <w:p w14:paraId="438FEF21" w14:textId="4EB7CFFD" w:rsidR="001E1F6C" w:rsidRPr="00A77BD5" w:rsidRDefault="001E1F6C" w:rsidP="004F7552">
      <w:pPr>
        <w:widowControl w:val="0"/>
        <w:autoSpaceDE w:val="0"/>
        <w:autoSpaceDN w:val="0"/>
        <w:adjustRightInd w:val="0"/>
        <w:spacing w:line="360" w:lineRule="auto"/>
        <w:ind w:firstLine="720"/>
        <w:rPr>
          <w:rFonts w:ascii="Times New Roman" w:hAnsi="Times New Roman"/>
        </w:rPr>
      </w:pPr>
      <w:r w:rsidRPr="00A77BD5">
        <w:rPr>
          <w:rFonts w:ascii="Times New Roman" w:hAnsi="Times New Roman"/>
        </w:rPr>
        <w:t xml:space="preserve">Notwithstanding the </w:t>
      </w:r>
      <w:r w:rsidR="00B12866" w:rsidRPr="00A77BD5">
        <w:rPr>
          <w:rFonts w:ascii="Times New Roman" w:hAnsi="Times New Roman"/>
        </w:rPr>
        <w:t>Bretton Woods</w:t>
      </w:r>
      <w:r w:rsidRPr="00A77BD5">
        <w:rPr>
          <w:rFonts w:ascii="Times New Roman" w:hAnsi="Times New Roman"/>
        </w:rPr>
        <w:t xml:space="preserve"> era transformations, the most ambitious proposals for architectural reform that followed 20</w:t>
      </w:r>
      <w:r w:rsidRPr="00A77BD5">
        <w:rPr>
          <w:rFonts w:ascii="Times New Roman" w:hAnsi="Times New Roman"/>
          <w:vertAlign w:val="superscript"/>
        </w:rPr>
        <w:t>th</w:t>
      </w:r>
      <w:r w:rsidRPr="00A77BD5">
        <w:rPr>
          <w:rFonts w:ascii="Times New Roman" w:hAnsi="Times New Roman"/>
        </w:rPr>
        <w:t xml:space="preserve"> century crises and the GFC faded quickly. Recurrent failure of the reform agenda has led many observers to emphasize architectural continuity. What I call the </w:t>
      </w:r>
      <w:r w:rsidRPr="00A77BD5">
        <w:rPr>
          <w:rFonts w:ascii="Times New Roman" w:hAnsi="Times New Roman"/>
          <w:i/>
        </w:rPr>
        <w:t>continuity thesis</w:t>
      </w:r>
      <w:r w:rsidRPr="00A77BD5">
        <w:rPr>
          <w:rFonts w:ascii="Times New Roman" w:hAnsi="Times New Roman"/>
        </w:rPr>
        <w:t xml:space="preserve"> refers to the common view that the opportunity for meaningful architectural change created by the </w:t>
      </w:r>
      <w:r w:rsidR="00757554">
        <w:rPr>
          <w:rFonts w:ascii="Times New Roman" w:hAnsi="Times New Roman"/>
        </w:rPr>
        <w:t>GFC</w:t>
      </w:r>
      <w:r w:rsidRPr="00A77BD5">
        <w:rPr>
          <w:rFonts w:ascii="Times New Roman" w:hAnsi="Times New Roman"/>
        </w:rPr>
        <w:t xml:space="preserve"> has been lost, and that nothing of significance has changed, especially as concerns emerging market and developing countries (EMDEs). Arguments for continuity take many forms. Some focus on continuity in the system as a whole </w:t>
      </w:r>
      <w:r w:rsidR="00891F56">
        <w:rPr>
          <w:rFonts w:ascii="Times New Roman" w:hAnsi="Times New Roman"/>
        </w:rPr>
        <w:fldChar w:fldCharType="begin"/>
      </w:r>
      <w:r w:rsidR="00891F56">
        <w:rPr>
          <w:rFonts w:ascii="Times New Roman" w:hAnsi="Times New Roman"/>
        </w:rPr>
        <w:instrText xml:space="preserve"> ADDIN EN.CITE &lt;EndNote&gt;&lt;Cite&gt;&lt;Author&gt;Akyüz&lt;/Author&gt;&lt;Year&gt;2017&lt;/Year&gt;&lt;RecNum&gt;1953&lt;/RecNum&gt;&lt;DisplayText&gt;(Akyüz 2017)&lt;/DisplayText&gt;&lt;record&gt;&lt;rec-number&gt;1953&lt;/rec-number&gt;&lt;foreign-keys&gt;&lt;key app="EN" db-id="x2xf5e95kefpz8e59fcx5psgerr9wepetvet" timestamp="1532300737"&gt;1953&lt;/key&gt;&lt;/foreign-keys&gt;&lt;ref-type name="Book"&gt;6&lt;/ref-type&gt;&lt;contributors&gt;&lt;authors&gt;&lt;author&gt;Akyüz, Yilmaz&lt;/author&gt;&lt;/authors&gt;&lt;/contributors&gt;&lt;titles&gt;&lt;title&gt;Playing With Fire: Deepended Financial Integration and Changing Vulnerabilities of the Global South&lt;/title&gt;&lt;/titles&gt;&lt;dates&gt;&lt;year&gt;2017&lt;/year&gt;&lt;/dates&gt;&lt;pub-location&gt;Oxford&lt;/pub-location&gt;&lt;publisher&gt;Oxford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(Akyüz 2017)</w:t>
      </w:r>
      <w:r w:rsidR="00891F56">
        <w:rPr>
          <w:rFonts w:ascii="Times New Roman" w:hAnsi="Times New Roman"/>
        </w:rPr>
        <w:fldChar w:fldCharType="end"/>
      </w:r>
      <w:r w:rsidRPr="00A77BD5">
        <w:rPr>
          <w:rFonts w:ascii="Times New Roman" w:hAnsi="Times New Roman"/>
        </w:rPr>
        <w:t>. Others emphasize t</w:t>
      </w:r>
      <w:r w:rsidR="00463F44" w:rsidRPr="00A77BD5">
        <w:rPr>
          <w:rFonts w:ascii="Times New Roman" w:hAnsi="Times New Roman"/>
        </w:rPr>
        <w:t xml:space="preserve">he continued role of the US, the </w:t>
      </w:r>
      <w:r w:rsidRPr="00A77BD5">
        <w:rPr>
          <w:rFonts w:ascii="Times New Roman" w:hAnsi="Times New Roman"/>
        </w:rPr>
        <w:t xml:space="preserve">dollar, and Federal Reserve </w:t>
      </w:r>
      <w:r w:rsidR="00891F56">
        <w:rPr>
          <w:rFonts w:ascii="Times New Roman" w:hAnsi="Times New Roman"/>
        </w:rPr>
        <w:fldChar w:fldCharType="begin"/>
      </w:r>
      <w:r w:rsidR="00891F56">
        <w:rPr>
          <w:rFonts w:ascii="Times New Roman" w:hAnsi="Times New Roman"/>
        </w:rPr>
        <w:instrText xml:space="preserve"> ADDIN EN.CITE &lt;EndNote&gt;&lt;Cite&gt;&lt;Author&gt;Helleiner&lt;/Author&gt;&lt;Year&gt;2014&lt;/Year&gt;&lt;RecNum&gt;469&lt;/RecNum&gt;&lt;DisplayText&gt;(Helleiner 2014)&lt;/DisplayText&gt;&lt;record&gt;&lt;rec-number&gt;469&lt;/rec-number&gt;&lt;foreign-keys&gt;&lt;key app="EN" db-id="x2xf5e95kefpz8e59fcx5psgerr9wepetvet" timestamp="1405441800"&gt;469&lt;/key&gt;&lt;/foreign-keys&gt;&lt;ref-type name="Book"&gt;6&lt;/ref-type&gt;&lt;contributors&gt;&lt;authors&gt;&lt;author&gt;Helleiner, Eric&lt;/author&gt;&lt;/authors&gt;&lt;/contributors&gt;&lt;titles&gt;&lt;title&gt;The Status Quo Crisis: Global Financial Governance after the 2008 Meltdown&lt;/title&gt;&lt;/titles&gt;&lt;dates&gt;&lt;year&gt;2014&lt;/year&gt;&lt;/dates&gt;&lt;pub-location&gt;Oxford&lt;/pub-location&gt;&lt;publisher&gt;Oxford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(Helleiner 2014)</w:t>
      </w:r>
      <w:r w:rsidR="00891F56">
        <w:rPr>
          <w:rFonts w:ascii="Times New Roman" w:hAnsi="Times New Roman"/>
        </w:rPr>
        <w:fldChar w:fldCharType="end"/>
      </w:r>
      <w:r w:rsidRPr="00A77BD5">
        <w:rPr>
          <w:rFonts w:ascii="Times New Roman" w:hAnsi="Times New Roman"/>
        </w:rPr>
        <w:t xml:space="preserve"> and the false promise of disruption </w:t>
      </w:r>
      <w:r w:rsidR="00A35536" w:rsidRPr="00A77BD5">
        <w:rPr>
          <w:rFonts w:ascii="Times New Roman" w:hAnsi="Times New Roman"/>
        </w:rPr>
        <w:t xml:space="preserve">associated with </w:t>
      </w:r>
      <w:r w:rsidRPr="00A77BD5">
        <w:rPr>
          <w:rFonts w:ascii="Times New Roman" w:hAnsi="Times New Roman"/>
        </w:rPr>
        <w:t>bilateral swap agreemen</w:t>
      </w:r>
      <w:r w:rsidR="00ED6FDB" w:rsidRPr="00A77BD5">
        <w:rPr>
          <w:rFonts w:ascii="Times New Roman" w:hAnsi="Times New Roman"/>
        </w:rPr>
        <w:t>t</w:t>
      </w:r>
      <w:r w:rsidRPr="00A77BD5">
        <w:rPr>
          <w:rFonts w:ascii="Times New Roman" w:hAnsi="Times New Roman"/>
        </w:rPr>
        <w:t xml:space="preserve">s by EMDE central banks </w:t>
      </w:r>
      <w:r w:rsidR="00891F56">
        <w:rPr>
          <w:rFonts w:ascii="Times New Roman" w:hAnsi="Times New Roman"/>
        </w:rPr>
        <w:fldChar w:fldCharType="begin"/>
      </w:r>
      <w:r w:rsidR="00891F56">
        <w:rPr>
          <w:rFonts w:ascii="Times New Roman" w:hAnsi="Times New Roman"/>
        </w:rPr>
        <w:instrText xml:space="preserve"> ADDIN EN.CITE &lt;EndNote&gt;&lt;Cite&gt;&lt;Author&gt;McDowell&lt;/Author&gt;&lt;Year&gt;2018&lt;/Year&gt;&lt;RecNum&gt;1451&lt;/RecNum&gt;&lt;DisplayText&gt;(McDowell 2018a)&lt;/DisplayText&gt;&lt;record&gt;&lt;rec-number&gt;1451&lt;/rec-number&gt;&lt;foreign-keys&gt;&lt;key app="EN" db-id="x2xf5e95kefpz8e59fcx5psgerr9wepetvet" timestamp="1447024988"&gt;1451&lt;/key&gt;&lt;/foreign-keys&gt;&lt;ref-type name="Journal Article"&gt;17&lt;/ref-type&gt;&lt;contributors&gt;&lt;authors&gt;&lt;author&gt;McDowell, Daniel&lt;/author&gt;&lt;/authors&gt;&lt;/contributors&gt;&lt;titles&gt;&lt;title&gt;Emergent International Liquidity Network: Central Bank Cooperation after the Global Financial Crisis&lt;/title&gt;&lt;secondary-title&gt;Journal of International Relations and Development&lt;/secondary-title&gt;&lt;/titles&gt;&lt;periodical&gt;&lt;full-title&gt;Journal of International Relations and Development&lt;/full-title&gt;&lt;/periodical&gt;&lt;volume&gt;, forthcoming&lt;/volume&gt;&lt;dates&gt;&lt;year&gt;2018&lt;/year&gt;&lt;/dates&gt;&lt;urls&gt;&lt;related-urls&gt;&lt;url&gt;https://doi.org/10.1057/s41268-017-0106-0&lt;/url&gt;&lt;/related-urls&gt;&lt;/urls&gt;&lt;/record&gt;&lt;/Cite&gt;&lt;/EndNote&gt;</w:instrText>
      </w:r>
      <w:r w:rsidR="00891F56">
        <w:rPr>
          <w:rFonts w:ascii="Times New Roman" w:hAnsi="Times New Roman"/>
        </w:rPr>
        <w:fldChar w:fldCharType="separate"/>
      </w:r>
      <w:r w:rsidR="00891F56">
        <w:rPr>
          <w:rFonts w:ascii="Times New Roman" w:hAnsi="Times New Roman"/>
          <w:noProof/>
        </w:rPr>
        <w:t>(McDowell 2018a)</w:t>
      </w:r>
      <w:r w:rsidR="00891F56">
        <w:rPr>
          <w:rFonts w:ascii="Times New Roman" w:hAnsi="Times New Roman"/>
        </w:rPr>
        <w:fldChar w:fldCharType="end"/>
      </w:r>
      <w:r w:rsidRPr="00A77BD5">
        <w:rPr>
          <w:rFonts w:ascii="Times New Roman" w:hAnsi="Times New Roman"/>
        </w:rPr>
        <w:t xml:space="preserve">, including China’s </w:t>
      </w:r>
      <w:r w:rsidR="00891F56">
        <w:rPr>
          <w:rFonts w:ascii="Times New Roman" w:hAnsi="Times New Roman"/>
        </w:rPr>
        <w:fldChar w:fldCharType="begin"/>
      </w:r>
      <w:r w:rsidR="00891F56">
        <w:rPr>
          <w:rFonts w:ascii="Times New Roman" w:hAnsi="Times New Roman"/>
        </w:rPr>
        <w:instrText xml:space="preserve"> ADDIN EN.CITE &lt;EndNote&gt;&lt;Cite&gt;&lt;Author&gt;McDowell&lt;/Author&gt;&lt;Year&gt;2018&lt;/Year&gt;&lt;RecNum&gt;1961&lt;/RecNum&gt;&lt;Pages&gt;this symposium&lt;/Pages&gt;&lt;DisplayText&gt;(McDowell 2018b, this symposium)&lt;/DisplayText&gt;&lt;record&gt;&lt;rec-number&gt;1961&lt;/rec-number&gt;&lt;foreign-keys&gt;&lt;key app="EN" db-id="x2xf5e95kefpz8e59fcx5psgerr9wepetvet" timestamp="1532982445"&gt;1961&lt;/key&gt;&lt;/foreign-keys&gt;&lt;ref-type name="Report"&gt;27&lt;/ref-type&gt;&lt;contributors&gt;&lt;authors&gt;&lt;author&gt;McDowell, Daniel&lt;/author&gt;&lt;/authors&gt;&lt;/contributors&gt;&lt;titles&gt;&lt;title&gt;&lt;style face="normal" font="default" size="100%"&gt;The (Ineffective) Financial Statecraft of China&amp;apos;s Bilateral Swap Agreements,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(McDowell 2018b, this symposium)</w:t>
      </w:r>
      <w:r w:rsidR="00891F56">
        <w:rPr>
          <w:rFonts w:ascii="Times New Roman" w:hAnsi="Times New Roman"/>
        </w:rPr>
        <w:fldChar w:fldCharType="end"/>
      </w:r>
      <w:r w:rsidRPr="00A77BD5">
        <w:rPr>
          <w:rFonts w:ascii="Times New Roman" w:hAnsi="Times New Roman"/>
        </w:rPr>
        <w:t>. Still others focus on continuity in the BWIs</w:t>
      </w:r>
      <w:r w:rsidR="004C18CF">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&lt;EndNote&gt;&lt;Cite&gt;&lt;Author&gt;Güven&lt;/Author&gt;&lt;Year&gt;2012&lt;/Year&gt;&lt;RecNum&gt;812&lt;/RecNum&gt;&lt;DisplayText&gt;(Güven 2012, Kentikelenis, Stubbs, and King 2016)&lt;/DisplayText&gt;&lt;record&gt;&lt;rec-number&gt;812&lt;/rec-number&gt;&lt;foreign-keys&gt;&lt;key app="EN" db-id="x2xf5e95kefpz8e59fcx5psgerr9wepetvet" timestamp="1428516396"&gt;812&lt;/key&gt;&lt;/foreign-keys&gt;&lt;ref-type name="Journal Article"&gt;17&lt;/ref-type&gt;&lt;contributors&gt;&lt;authors&gt;&lt;author&gt;Güven, Ali Burak&lt;/author&gt;&lt;/authors&gt;&lt;/contributors&gt;&lt;titles&gt;&lt;title&gt;The IMF, the World Bank, and the Global Economic Crisis: Exploring Paradigm Continuity&lt;/title&gt;&lt;secondary-title&gt;Development and Change&lt;/secondary-title&gt;&lt;/titles&gt;&lt;periodical&gt;&lt;full-title&gt;Development and Change&lt;/full-title&gt;&lt;/periodical&gt;&lt;pages&gt;869-98&lt;/pages&gt;&lt;volume&gt;43&lt;/volume&gt;&lt;number&gt;4&lt;/number&gt;&lt;dates&gt;&lt;year&gt;2012&lt;/year&gt;&lt;/dates&gt;&lt;urls&gt;&lt;/urls&gt;&lt;/record&gt;&lt;/Cite&gt;&lt;Cite&gt;&lt;Author&gt;Kentikelenis&lt;/Author&gt;&lt;Year&gt;2016&lt;/Year&gt;&lt;RecNum&gt;1390&lt;/RecNum&gt;&lt;record&gt;&lt;rec-number&gt;1390&lt;/rec-number&gt;&lt;foreign-keys&gt;&lt;key app="EN" db-id="x2xf5e95kefpz8e59fcx5psgerr9wepetvet" timestamp="1438737448"&gt;1390&lt;/key&gt;&lt;/foreign-keys&gt;&lt;ref-type name="Journal Article"&gt;17&lt;/ref-type&gt;&lt;contributors&gt;&lt;authors&gt;&lt;author&gt;Kentikelenis, Alexander&lt;/author&gt;&lt;author&gt;Stubbs, Thomas&lt;/author&gt;&lt;author&gt;King, Lawrence&lt;/author&gt;&lt;/authors&gt;&lt;/contributors&gt;&lt;titles&gt;&lt;title&gt;IMF Conditionality and Development Policy Space, 1985–2014&lt;/title&gt;&lt;secondary-title&gt;Review of International Political Economy&lt;/secondary-title&gt;&lt;/titles&gt;&lt;periodical&gt;&lt;full-title&gt;Review of International Political Economy&lt;/full-title&gt;&lt;/periodical&gt;&lt;pages&gt;543-82&lt;/pages&gt;&lt;volume&gt;23&lt;/volume&gt;&lt;number&gt;4&lt;/number&gt;&lt;dates&gt;&lt;year&gt;2016&lt;/year&gt;&lt;/dates&gt;&lt;urls&gt;&lt;/urls&gt;&lt;/record&gt;&lt;/Cite&gt;&lt;/EndNote&gt;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(Güven 2012, Kentikelenis, Stubbs, and King 2016)</w:t>
      </w:r>
      <w:r w:rsidR="00891F56">
        <w:rPr>
          <w:rFonts w:ascii="Times New Roman" w:hAnsi="Times New Roman"/>
        </w:rPr>
        <w:fldChar w:fldCharType="end"/>
      </w:r>
      <w:r w:rsidR="00112F4B">
        <w:rPr>
          <w:rFonts w:ascii="Times New Roman" w:hAnsi="Times New Roman"/>
        </w:rPr>
        <w:t xml:space="preserve"> </w:t>
      </w:r>
      <w:r w:rsidRPr="00A77BD5">
        <w:rPr>
          <w:rFonts w:ascii="Times New Roman" w:hAnsi="Times New Roman"/>
        </w:rPr>
        <w:t xml:space="preserve">and in networks, such as the G-20 </w:t>
      </w:r>
      <w:r w:rsidR="00891F56">
        <w:rPr>
          <w:rFonts w:ascii="Times New Roman" w:hAnsi="Times New Roman"/>
        </w:rPr>
        <w:fldChar w:fldCharType="begin"/>
      </w:r>
      <w:r w:rsidR="00891F56">
        <w:rPr>
          <w:rFonts w:ascii="Times New Roman" w:hAnsi="Times New Roman"/>
        </w:rPr>
        <w:instrText xml:space="preserve"> ADDIN EN.CITE &lt;EndNote&gt;&lt;Cite&gt;&lt;Author&gt;Vestergaard&lt;/Author&gt;&lt;Year&gt;2011&lt;/Year&gt;&lt;RecNum&gt;1221&lt;/RecNum&gt;&lt;DisplayText&gt;(Vestergaard and Wade 2011)&lt;/DisplayText&gt;&lt;record&gt;&lt;rec-number&gt;1221&lt;/rec-number&gt;&lt;foreign-keys&gt;&lt;key app="EN" db-id="x2xf5e95kefpz8e59fcx5psgerr9wepetvet" timestamp="1428516494"&gt;1221&lt;/key&gt;&lt;/foreign-keys&gt;&lt;ref-type name="Journal Article"&gt;17&lt;/ref-type&gt;&lt;contributors&gt;&lt;authors&gt;&lt;author&gt;Vestergaard, Jakob&lt;/author&gt;&lt;author&gt;Robert H. Wade&lt;/author&gt;&lt;/authors&gt;&lt;/contributors&gt;&lt;titles&gt;&lt;title&gt;The G20 Has Served Its Purpose and Should Be Replaced&lt;/title&gt;&lt;secondary-title&gt;Journal of Globalization and Development&lt;/secondary-title&gt;&lt;/titles&gt;&lt;periodical&gt;&lt;full-title&gt;Journal of globalization and development&lt;/full-title&gt;&lt;/periodical&gt;&lt;pages&gt;Article 10&lt;/pages&gt;&lt;volume&gt;2&lt;/volume&gt;&lt;number&gt;2&lt;/number&gt;&lt;dates&gt;&lt;year&gt;2011&lt;/year&gt;&lt;/dates&gt;&lt;urls&gt;&lt;related-urls&gt;&lt;url&gt;http://du.summon.serialssolutions.com/link/0/eLvHCXMwTV29CgIxDC7i4OJyoF19gR73l_acDw8HQZAbvLFt0vFAPd_ftJzoEsgQsiTfl0B-hDhg4J6BebbRTKg2CgBCgNBy51aku52_G9t_aN5nYkXTTgz9aejOankGoHxrKqXZmCx4cAFrBt2y8paYW1FrE8g1zFPGac56Y8lhAFO5Wnv2hi6WME25F1sbZ8anOe2WoRTr-fkmGTFXsn8pNvdjdxmvt0XNvmr-SvtP-WOWDPEpPFSZFx-CbThF&lt;/url&gt;&lt;/related-urls&gt;&lt;/urls&gt;&lt;electronic-resource-num&gt;10.1515/1948-1837.1237&lt;/electronic-resource-num&gt;&lt;/record&gt;&lt;/Cite&gt;&lt;/EndNote&gt;</w:instrText>
      </w:r>
      <w:r w:rsidR="00891F56">
        <w:rPr>
          <w:rFonts w:ascii="Times New Roman" w:hAnsi="Times New Roman"/>
        </w:rPr>
        <w:fldChar w:fldCharType="separate"/>
      </w:r>
      <w:r w:rsidR="00891F56">
        <w:rPr>
          <w:rFonts w:ascii="Times New Roman" w:hAnsi="Times New Roman"/>
          <w:noProof/>
        </w:rPr>
        <w:t>(Vestergaard and Wade 2011)</w:t>
      </w:r>
      <w:r w:rsidR="00891F56">
        <w:rPr>
          <w:rFonts w:ascii="Times New Roman" w:hAnsi="Times New Roman"/>
        </w:rPr>
        <w:fldChar w:fldCharType="end"/>
      </w:r>
      <w:r w:rsidRPr="00A77BD5">
        <w:rPr>
          <w:rFonts w:ascii="Times New Roman" w:hAnsi="Times New Roman"/>
        </w:rPr>
        <w:t xml:space="preserve">. Some emphasize continued vulnerability to crisis in EMDEs </w:t>
      </w:r>
      <w:r w:rsidR="00891F56">
        <w:rPr>
          <w:rFonts w:ascii="Times New Roman" w:hAnsi="Times New Roman"/>
        </w:rPr>
        <w:fldChar w:fldCharType="begin"/>
      </w:r>
      <w:r w:rsidR="00891F56">
        <w:rPr>
          <w:rFonts w:ascii="Times New Roman" w:hAnsi="Times New Roman"/>
        </w:rPr>
        <w:instrText xml:space="preserve"> ADDIN EN.CITE &lt;EndNote&gt;&lt;Cite&gt;&lt;Author&gt;Akyüz&lt;/Author&gt;&lt;Year&gt;2017&lt;/Year&gt;&lt;RecNum&gt;1953&lt;/RecNum&gt;&lt;DisplayText&gt;(Akyüz 2017, UNCTAD, 2016, 2017)&lt;/DisplayText&gt;&lt;record&gt;&lt;rec-number&gt;1953&lt;/rec-number&gt;&lt;foreign-keys&gt;&lt;key app="EN" db-id="x2xf5e95kefpz8e59fcx5psgerr9wepetvet" timestamp="1532300737"&gt;1953&lt;/key&gt;&lt;/foreign-keys&gt;&lt;ref-type name="Book"&gt;6&lt;/ref-type&gt;&lt;contributors&gt;&lt;authors&gt;&lt;author&gt;Akyüz, Yilmaz&lt;/author&gt;&lt;/authors&gt;&lt;/contributors&gt;&lt;titles&gt;&lt;title&gt;Playing With Fire: Deepended Financial Integration and Changing Vulnerabilities of the Global South&lt;/title&gt;&lt;/titles&gt;&lt;dates&gt;&lt;year&gt;2017&lt;/year&gt;&lt;/dates&gt;&lt;pub-location&gt;Oxford&lt;/pub-location&gt;&lt;publisher&gt;Oxford University Press&lt;/publisher&gt;&lt;urls&gt;&lt;/urls&gt;&lt;/record&gt;&lt;/Cite&gt;&lt;Cite ExcludeYear="1"&gt;&lt;Author&gt;UNCTAD&lt;/Author&gt;&lt;RecNum&gt;1718&lt;/RecNum&gt;&lt;Pages&gt;2016`, 2017&lt;/Pages&gt;&lt;record&gt;&lt;rec-number&gt;1718&lt;/rec-number&gt;&lt;foreign-keys&gt;&lt;key app="EN" db-id="x2xf5e95kefpz8e59fcx5psgerr9wepetvet" timestamp="1475525023"&gt;1718&lt;/key&gt;&lt;/foreign-keys&gt;&lt;ref-type name="Book"&gt;6&lt;/ref-type&gt;&lt;contributors&gt;&lt;authors&gt;&lt;author&gt;UNCTAD, various years&lt;/author&gt;&lt;/authors&gt;&lt;/contributors&gt;&lt;titles&gt;&lt;title&gt;Trade and Development Report&lt;/title&gt;&lt;/titles&gt;&lt;dates&gt;&lt;/dates&gt;&lt;pub-location&gt;Geneva&lt;/pub-location&gt;&lt;publisher&gt;United Nations Conference on Trade and Development&lt;/publisher&gt;&lt;urls&gt;&lt;/urls&gt;&lt;/record&gt;&lt;/Cite&gt;&lt;/EndNote&gt;</w:instrText>
      </w:r>
      <w:r w:rsidR="00891F56">
        <w:rPr>
          <w:rFonts w:ascii="Times New Roman" w:hAnsi="Times New Roman"/>
        </w:rPr>
        <w:fldChar w:fldCharType="separate"/>
      </w:r>
      <w:r w:rsidR="00891F56">
        <w:rPr>
          <w:rFonts w:ascii="Times New Roman" w:hAnsi="Times New Roman"/>
          <w:noProof/>
        </w:rPr>
        <w:t>(Akyüz 2017, UNCTAD, 2016, 2017)</w:t>
      </w:r>
      <w:r w:rsidR="00891F56">
        <w:rPr>
          <w:rFonts w:ascii="Times New Roman" w:hAnsi="Times New Roman"/>
        </w:rPr>
        <w:fldChar w:fldCharType="end"/>
      </w:r>
      <w:r w:rsidRPr="00A77BD5">
        <w:rPr>
          <w:rFonts w:ascii="Times New Roman" w:hAnsi="Times New Roman"/>
        </w:rPr>
        <w:t xml:space="preserve">. And finally, others dismiss the </w:t>
      </w:r>
      <w:r w:rsidR="00BB4DEF" w:rsidRPr="00A77BD5">
        <w:rPr>
          <w:rFonts w:ascii="Times New Roman" w:hAnsi="Times New Roman"/>
        </w:rPr>
        <w:t xml:space="preserve">potential and </w:t>
      </w:r>
      <w:r w:rsidR="000A2D25" w:rsidRPr="00A77BD5">
        <w:rPr>
          <w:rFonts w:ascii="Times New Roman" w:hAnsi="Times New Roman"/>
        </w:rPr>
        <w:t>significance of</w:t>
      </w:r>
      <w:r w:rsidRPr="00A77BD5">
        <w:rPr>
          <w:rFonts w:ascii="Times New Roman" w:hAnsi="Times New Roman"/>
        </w:rPr>
        <w:t xml:space="preserve"> institutional innovations in EMDEs, such as those associated with the Association of Southeast Asian Nations plus Japan, South Korea, and China (ASEAN+3) </w:t>
      </w:r>
      <w:r w:rsidR="00891F56">
        <w:rPr>
          <w:rFonts w:ascii="Times New Roman" w:hAnsi="Times New Roman"/>
        </w:rPr>
        <w:fldChar w:fldCharType="begin"/>
      </w:r>
      <w:r w:rsidR="00891F56">
        <w:rPr>
          <w:rFonts w:ascii="Times New Roman" w:hAnsi="Times New Roman"/>
        </w:rPr>
        <w:instrText xml:space="preserve"> ADDIN EN.CITE &lt;EndNote&gt;&lt;Cite&gt;&lt;Author&gt;Grimes&lt;/Author&gt;&lt;Year&gt;2015&lt;/Year&gt;&lt;RecNum&gt;1709&lt;/RecNum&gt;&lt;DisplayText&gt;(Grimes 2015)&lt;/DisplayText&gt;&lt;record&gt;&lt;rec-number&gt;1709&lt;/rec-number&gt;&lt;foreign-keys&gt;&lt;key app="EN" db-id="x2xf5e95kefpz8e59fcx5psgerr9wepetvet" timestamp="1475501009"&gt;1709&lt;/key&gt;&lt;/foreign-keys&gt;&lt;ref-type name="Journal Article"&gt;17&lt;/ref-type&gt;&lt;contributors&gt;&lt;authors&gt;&lt;author&gt;Grimes, William&lt;/author&gt;&lt;/authors&gt;&lt;/contributors&gt;&lt;titles&gt;&lt;title&gt;East Asian Financial Regionalism: Why Economic Enhancements Undermine Political Sustainability&lt;/title&gt;&lt;secondary-title&gt;Contemporary Politics&lt;/secondary-title&gt;&lt;/titles&gt;&lt;periodical&gt;&lt;full-title&gt;Contemporary Politics&lt;/full-title&gt;&lt;/periodical&gt;&lt;pages&gt;145-60&lt;/pages&gt;&lt;volume&gt;21&lt;/volume&gt;&lt;number&gt;2&lt;/number&gt;&lt;dates&gt;&lt;year&gt;2015&lt;/year&gt;&lt;/dates&gt;&lt;urls&gt;&lt;/urls&gt;&lt;/record&gt;&lt;/Cite&gt;&lt;/EndNote&gt;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(Grimes 2015)</w:t>
      </w:r>
      <w:r w:rsidR="00891F56">
        <w:rPr>
          <w:rFonts w:ascii="Times New Roman" w:hAnsi="Times New Roman"/>
        </w:rPr>
        <w:fldChar w:fldCharType="end"/>
      </w:r>
      <w:r w:rsidRPr="00A77BD5">
        <w:rPr>
          <w:rFonts w:ascii="Times New Roman" w:hAnsi="Times New Roman"/>
        </w:rPr>
        <w:t xml:space="preserve">, the BRICS </w:t>
      </w:r>
      <w:r w:rsidR="00891F56">
        <w:rPr>
          <w:rFonts w:ascii="Times New Roman" w:hAnsi="Times New Roman"/>
        </w:rPr>
        <w:fldChar w:fldCharType="begin"/>
      </w:r>
      <w:r w:rsidR="00891F56">
        <w:rPr>
          <w:rFonts w:ascii="Times New Roman" w:hAnsi="Times New Roman"/>
        </w:rPr>
        <w:instrText xml:space="preserve"> ADDIN EN.CITE &lt;EndNote&gt;&lt;Cite&gt;&lt;Author&gt;Bond&lt;/Author&gt;&lt;Year&gt;2016&lt;/Year&gt;&lt;RecNum&gt;1699&lt;/RecNum&gt;&lt;DisplayText&gt;(Bond 2016)&lt;/DisplayText&gt;&lt;record&gt;&lt;rec-number&gt;1699&lt;/rec-number&gt;&lt;foreign-keys&gt;&lt;key app="EN" db-id="x2xf5e95kefpz8e59fcx5psgerr9wepetvet" timestamp="1475354482"&gt;1699&lt;/key&gt;&lt;/foreign-keys&gt;&lt;ref-type name="Journal Article"&gt;17&lt;/ref-type&gt;&lt;contributors&gt;&lt;authors&gt;&lt;author&gt;Bond, Patrick&lt;/author&gt;&lt;/authors&gt;&lt;/contributors&gt;&lt;titles&gt;&lt;title&gt;BRICS Banking and the Debate over Sub-imperialism&lt;/title&gt;&lt;secondary-title&gt;Third World Quarterly&lt;/secondary-title&gt;&lt;/titles&gt;&lt;periodical&gt;&lt;full-title&gt;Third World Quarterly&lt;/full-title&gt;&lt;/periodical&gt;&lt;pages&gt;611-29&lt;/pages&gt;&lt;volume&gt;37&lt;/volume&gt;&lt;number&gt;4&lt;/number&gt;&lt;dates&gt;&lt;year&gt;2016&lt;/year&gt;&lt;/dates&gt;&lt;urls&gt;&lt;/urls&gt;&lt;/record&gt;&lt;/Cite&gt;&lt;/EndNote&gt;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(Bond 2016)</w:t>
      </w:r>
      <w:r w:rsidR="00891F56">
        <w:rPr>
          <w:rFonts w:ascii="Times New Roman" w:hAnsi="Times New Roman"/>
        </w:rPr>
        <w:fldChar w:fldCharType="end"/>
      </w:r>
      <w:r w:rsidRPr="00A77BD5">
        <w:rPr>
          <w:rFonts w:ascii="Times New Roman" w:hAnsi="Times New Roman"/>
        </w:rPr>
        <w:t xml:space="preserve">, or </w:t>
      </w:r>
      <w:r w:rsidR="00C75A1F">
        <w:rPr>
          <w:rFonts w:ascii="Times New Roman" w:hAnsi="Times New Roman"/>
        </w:rPr>
        <w:t>‘rising powers’</w:t>
      </w:r>
      <w:r w:rsidR="00931A48"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&lt;EndNote&gt;&lt;Cite&gt;&lt;Author&gt;Peruffo&lt;/Author&gt;&lt;Year&gt;2016&lt;/Year&gt;&lt;RecNum&gt;1700&lt;/RecNum&gt;&lt;DisplayText&gt;(Peruffo and Prates 2016)&lt;/DisplayText&gt;&lt;record&gt;&lt;rec-number&gt;1700&lt;/rec-number&gt;&lt;foreign-keys&gt;&lt;key app="EN" db-id="x2xf5e95kefpz8e59fcx5psgerr9wepetvet" timestamp="1475355188"&gt;1700&lt;/key&gt;&lt;/foreign-keys&gt;&lt;ref-type name="Newspaper Article"&gt;23&lt;/ref-type&gt;&lt;contributors&gt;&lt;authors&gt;&lt;author&gt;Peruffo, Luiza&lt;/author&gt;&lt;author&gt;Prates, Daniela Magalhães&lt;/author&gt;&lt;/authors&gt;&lt;/contributors&gt;&lt;titles&gt;&lt;title&gt;What Is Left of the Rise of the South: Sceptical Prospects for Multipolarity&lt;/title&gt;&lt;secondary-title&gt;Bretton Woods Observer&lt;/secondary-title&gt;&lt;/titles&gt;&lt;dates&gt;&lt;year&gt;2016&lt;/year&gt;&lt;pub-dates&gt;&lt;date&gt;April 5&lt;/date&gt;&lt;/pub-dates&gt;&lt;/dates&gt;&lt;urls&gt;&lt;related-urls&gt;&lt;url&gt;http://www.brettonwoodsproject.org/2016/04/what-is-left-of-the-rise-of-the-south-sceptical-prospects-for-multipolarity/&lt;/url&gt;&lt;/related-urls&gt;&lt;/urls&gt;&lt;/record&gt;&lt;/Cite&gt;&lt;/EndNote&gt;</w:instrText>
      </w:r>
      <w:r w:rsidR="00891F56">
        <w:rPr>
          <w:rFonts w:ascii="Times New Roman" w:hAnsi="Times New Roman"/>
        </w:rPr>
        <w:fldChar w:fldCharType="separate"/>
      </w:r>
      <w:r w:rsidR="00891F56">
        <w:rPr>
          <w:rFonts w:ascii="Times New Roman" w:hAnsi="Times New Roman"/>
          <w:noProof/>
        </w:rPr>
        <w:t>(Peruffo and Prates 2016)</w:t>
      </w:r>
      <w:r w:rsidR="00891F56">
        <w:rPr>
          <w:rFonts w:ascii="Times New Roman" w:hAnsi="Times New Roman"/>
        </w:rPr>
        <w:fldChar w:fldCharType="end"/>
      </w:r>
      <w:r w:rsidRPr="00A77BD5">
        <w:rPr>
          <w:rFonts w:ascii="Times New Roman" w:hAnsi="Times New Roman"/>
        </w:rPr>
        <w:t>.  In this article I challenge this final aspect of the continuity thesis.</w:t>
      </w:r>
      <w:r w:rsidRPr="00A77BD5">
        <w:rPr>
          <w:rStyle w:val="FootnoteReference"/>
          <w:rFonts w:ascii="Times New Roman" w:hAnsi="Times New Roman"/>
        </w:rPr>
        <w:footnoteReference w:id="1"/>
      </w:r>
      <w:r w:rsidRPr="00A77BD5">
        <w:rPr>
          <w:rFonts w:ascii="Times New Roman" w:hAnsi="Times New Roman"/>
        </w:rPr>
        <w:t xml:space="preserve"> </w:t>
      </w:r>
    </w:p>
    <w:p w14:paraId="03D5A846" w14:textId="53942F56" w:rsidR="001E1F6C" w:rsidRPr="00A77BD5" w:rsidRDefault="001E1F6C" w:rsidP="004F7552">
      <w:pPr>
        <w:widowControl w:val="0"/>
        <w:autoSpaceDE w:val="0"/>
        <w:autoSpaceDN w:val="0"/>
        <w:adjustRightInd w:val="0"/>
        <w:spacing w:line="360" w:lineRule="auto"/>
        <w:ind w:firstLine="720"/>
        <w:rPr>
          <w:rFonts w:ascii="Times New Roman" w:hAnsi="Times New Roman"/>
        </w:rPr>
      </w:pPr>
      <w:r w:rsidRPr="00A77BD5">
        <w:rPr>
          <w:rFonts w:ascii="Times New Roman" w:hAnsi="Times New Roman"/>
        </w:rPr>
        <w:t xml:space="preserve">That the BWIs still matter does not </w:t>
      </w:r>
      <w:r w:rsidR="00846323" w:rsidRPr="00A77BD5">
        <w:rPr>
          <w:rFonts w:ascii="Times New Roman" w:hAnsi="Times New Roman"/>
        </w:rPr>
        <w:t xml:space="preserve">contradict </w:t>
      </w:r>
      <w:r w:rsidRPr="00A77BD5">
        <w:rPr>
          <w:rFonts w:ascii="Times New Roman" w:hAnsi="Times New Roman"/>
        </w:rPr>
        <w:t xml:space="preserve">the point that long-term project finance and </w:t>
      </w:r>
      <w:r w:rsidR="0080277B" w:rsidRPr="00A77BD5">
        <w:rPr>
          <w:rFonts w:ascii="Times New Roman" w:hAnsi="Times New Roman"/>
        </w:rPr>
        <w:t>counter</w:t>
      </w:r>
      <w:r w:rsidRPr="00A77BD5">
        <w:rPr>
          <w:rFonts w:ascii="Times New Roman" w:hAnsi="Times New Roman"/>
        </w:rPr>
        <w:t>cyclical liquidity support in EMDEs ha</w:t>
      </w:r>
      <w:r w:rsidR="00846323" w:rsidRPr="00A77BD5">
        <w:rPr>
          <w:rFonts w:ascii="Times New Roman" w:hAnsi="Times New Roman"/>
        </w:rPr>
        <w:t>ve</w:t>
      </w:r>
      <w:r w:rsidRPr="00A77BD5">
        <w:rPr>
          <w:rFonts w:ascii="Times New Roman" w:hAnsi="Times New Roman"/>
        </w:rPr>
        <w:t xml:space="preserve"> evolved during the Asian and especially the GFC. These two forms of finance constitute what I refer</w:t>
      </w:r>
      <w:r w:rsidR="0058450E" w:rsidRPr="00A77BD5">
        <w:rPr>
          <w:rFonts w:ascii="Times New Roman" w:hAnsi="Times New Roman"/>
        </w:rPr>
        <w:t xml:space="preserve"> to as developmental finance. In this article I update</w:t>
      </w:r>
      <w:r w:rsidRPr="00A77BD5">
        <w:rPr>
          <w:rFonts w:ascii="Times New Roman" w:hAnsi="Times New Roman"/>
        </w:rPr>
        <w:t xml:space="preserve"> the empirical discussion of innovations in EMDE developmental finance institutions that appears in Grabel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ExcludeAuth="1"&gt;&lt;Author&gt;Grabel&lt;/Author&gt;&lt;Year&gt;2013&lt;/Year&gt;&lt;RecNum&gt;184&lt;/RecNum&gt;&lt;DisplayText&gt;(2013, 2017, ch.6)&lt;/DisplayText&gt;&lt;record&gt;&lt;rec-number&gt;184&lt;/rec-number&gt;&lt;foreign-keys&gt;&lt;key app="EN" db-id="x2xf5e95kefpz8e59fcx5psgerr9wepetvet" timestamp="1399585477"&gt;184&lt;/key&gt;&lt;/foreign-keys&gt;&lt;ref-type name="Report"&gt;27&lt;/ref-type&gt;&lt;contributors&gt;&lt;authors&gt;&lt;author&gt;Grabel, Ilene&lt;/author&gt;&lt;/authors&gt;&lt;/contributors&gt;&lt;titles&gt;&lt;title&gt;Financial Architectures and Development: Resilience, Policy Space, and Human Development in the Global South&lt;/title&gt;&lt;/titles&gt;&lt;dates&gt;&lt;year&gt;2013&lt;/year&gt;&lt;/dates&gt;&lt;pub-location&gt;Human Development Report Office Occasional Paper No. 7. New York: United Nations Development Programme. http://hdr.undp.org/sites/default/files/hdro_1307_grabel.pdf&lt;/pub-location&gt;&lt;urls&gt;&lt;/urls&gt;&lt;access-date&gt;May 8, 2014&lt;/access-date&gt;&lt;/record&gt;&lt;/Cite&gt;&lt;Cite ExcludeAuth="1"&gt;&lt;Author&gt;Grabel&lt;/Author&gt;&lt;Year&gt;2017&lt;/Year&gt;&lt;RecNum&gt;1930&lt;/RecNum&gt;&lt;Pages&gt;ch.6&lt;/Pages&gt;&lt;record&gt;&lt;rec-number&gt;1930&lt;/rec-number&gt;&lt;foreign-keys&gt;&lt;key app="EN" db-id="x2xf5e95kefpz8e59fcx5psgerr9wepetvet" timestamp="1499956361"&gt;1930&lt;/key&gt;&lt;/foreign-keys&gt;&lt;ref-type name="Book"&gt;6&lt;/ref-type&gt;&lt;contributors&gt;&lt;authors&gt;&lt;author&gt;Grabel, Ilene&lt;/author&gt;&lt;/authors&gt;&lt;/contributors&gt;&lt;titles&gt;&lt;title&gt;When Things Don’t Fall Apart: Global Financial Governance and Developmental Finance in an Age of Productive Incoherence&lt;/title&gt;&lt;/titles&gt;&lt;dates&gt;&lt;year&gt;2017&lt;/year&gt;&lt;/dates&gt;&lt;pub-location&gt;Cambridge, MA&lt;/pub-location&gt;&lt;publisher&gt;MIT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(2013, 2017, ch.6)</w:t>
      </w:r>
      <w:r w:rsidR="00891F56">
        <w:rPr>
          <w:rFonts w:ascii="Times New Roman" w:hAnsi="Times New Roman"/>
        </w:rPr>
        <w:fldChar w:fldCharType="end"/>
      </w:r>
      <w:r w:rsidR="007A79F9" w:rsidRPr="00A77BD5">
        <w:rPr>
          <w:rFonts w:ascii="Times New Roman" w:hAnsi="Times New Roman"/>
        </w:rPr>
        <w:t xml:space="preserve"> and focus</w:t>
      </w:r>
      <w:r w:rsidR="00FD4209" w:rsidRPr="00A77BD5">
        <w:rPr>
          <w:rFonts w:ascii="Times New Roman" w:hAnsi="Times New Roman"/>
        </w:rPr>
        <w:t xml:space="preserve"> on </w:t>
      </w:r>
      <w:r w:rsidRPr="00A77BD5">
        <w:rPr>
          <w:rFonts w:ascii="Times New Roman" w:hAnsi="Times New Roman"/>
        </w:rPr>
        <w:t xml:space="preserve">implications </w:t>
      </w:r>
      <w:r w:rsidR="00B92385" w:rsidRPr="00A77BD5">
        <w:rPr>
          <w:rFonts w:ascii="Times New Roman" w:hAnsi="Times New Roman"/>
        </w:rPr>
        <w:t>for the B</w:t>
      </w:r>
      <w:r w:rsidR="00846323" w:rsidRPr="00A77BD5">
        <w:rPr>
          <w:rFonts w:ascii="Times New Roman" w:hAnsi="Times New Roman"/>
        </w:rPr>
        <w:t>retton Woods</w:t>
      </w:r>
      <w:r w:rsidR="00B92385" w:rsidRPr="00A77BD5">
        <w:rPr>
          <w:rFonts w:ascii="Times New Roman" w:hAnsi="Times New Roman"/>
        </w:rPr>
        <w:t xml:space="preserve"> order</w:t>
      </w:r>
      <w:r w:rsidR="00A82B91" w:rsidRPr="00A77BD5">
        <w:rPr>
          <w:rFonts w:ascii="Times New Roman" w:hAnsi="Times New Roman"/>
        </w:rPr>
        <w:t>, especially in light of</w:t>
      </w:r>
      <w:r w:rsidR="00610995" w:rsidRPr="00A77BD5">
        <w:rPr>
          <w:rFonts w:ascii="Times New Roman" w:hAnsi="Times New Roman"/>
        </w:rPr>
        <w:t xml:space="preserve"> </w:t>
      </w:r>
      <w:r w:rsidR="004E58AC" w:rsidRPr="00A77BD5">
        <w:rPr>
          <w:rFonts w:ascii="Times New Roman" w:hAnsi="Times New Roman"/>
        </w:rPr>
        <w:t xml:space="preserve">present </w:t>
      </w:r>
      <w:r w:rsidR="00610995" w:rsidRPr="00A77BD5">
        <w:rPr>
          <w:rFonts w:ascii="Times New Roman" w:hAnsi="Times New Roman"/>
        </w:rPr>
        <w:t xml:space="preserve">economic and political </w:t>
      </w:r>
      <w:r w:rsidR="00A82B91" w:rsidRPr="00A77BD5">
        <w:rPr>
          <w:rFonts w:ascii="Times New Roman" w:hAnsi="Times New Roman"/>
        </w:rPr>
        <w:t>f</w:t>
      </w:r>
      <w:r w:rsidRPr="00A77BD5">
        <w:rPr>
          <w:rFonts w:ascii="Times New Roman" w:hAnsi="Times New Roman"/>
        </w:rPr>
        <w:t>ragilities and tensions. This article also contributes to a growing body of work on the evolution of a multilayered</w:t>
      </w:r>
      <w:r w:rsidR="00BA20FB" w:rsidRPr="00A77BD5">
        <w:rPr>
          <w:rFonts w:ascii="Times New Roman" w:hAnsi="Times New Roman"/>
        </w:rPr>
        <w:t>,</w:t>
      </w:r>
      <w:r w:rsidR="00C75A1F">
        <w:rPr>
          <w:rFonts w:ascii="Times New Roman" w:hAnsi="Times New Roman"/>
        </w:rPr>
        <w:t xml:space="preserve"> fragmented, and what I term a ‘pluripolar’</w:t>
      </w:r>
      <w:r w:rsidRPr="00A77BD5">
        <w:rPr>
          <w:rFonts w:ascii="Times New Roman" w:hAnsi="Times New Roman"/>
        </w:rPr>
        <w:t xml:space="preserve"> GFA </w:t>
      </w:r>
      <w:r w:rsidR="00891F56">
        <w:rPr>
          <w:rFonts w:ascii="Times New Roman" w:hAnsi="Times New Roman"/>
        </w:rPr>
        <w:fldChar w:fldCharType="begin">
          <w:fldData xml:space="preserve">PEVuZE5vdGU+PENpdGU+PEF1dGhvcj5BY2hhcnlhPC9BdXRob3I+PFllYXI+MjAxNzwvWWVhcj48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=
</w:fldData>
        </w:fldChar>
      </w:r>
      <w:r w:rsidR="00891F56">
        <w:rPr>
          <w:rFonts w:ascii="Times New Roman" w:hAnsi="Times New Roman"/>
        </w:rPr>
        <w:instrText xml:space="preserve"> ADDIN EN.CITE </w:instrText>
      </w:r>
      <w:r w:rsidR="00891F56">
        <w:rPr>
          <w:rFonts w:ascii="Times New Roman" w:hAnsi="Times New Roman"/>
        </w:rPr>
        <w:fldChar w:fldCharType="begin">
          <w:fldData xml:space="preserve">PEVuZE5vdGU+PENpdGU+PEF1dGhvcj5BY2hhcnlhPC9BdXRob3I+PFllYXI+MjAxNzwvWWVhcj48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=
</w:fldData>
        </w:fldChar>
      </w:r>
      <w:r w:rsidR="00891F56">
        <w:rPr>
          <w:rFonts w:ascii="Times New Roman" w:hAnsi="Times New Roman"/>
        </w:rPr>
        <w:instrText xml:space="preserve"> ADDIN EN.CITE.DATA </w:instrText>
      </w:r>
      <w:r w:rsidR="00891F56">
        <w:rPr>
          <w:rFonts w:ascii="Times New Roman" w:hAnsi="Times New Roman"/>
        </w:rPr>
      </w:r>
      <w:r w:rsidR="00891F56">
        <w:rPr>
          <w:rFonts w:ascii="Times New Roman" w:hAnsi="Times New Roman"/>
        </w:rPr>
        <w:fldChar w:fldCharType="end"/>
      </w:r>
      <w:r w:rsidR="00891F56">
        <w:rPr>
          <w:rFonts w:ascii="Times New Roman" w:hAnsi="Times New Roman"/>
        </w:rPr>
      </w:r>
      <w:r w:rsidR="00891F56">
        <w:rPr>
          <w:rFonts w:ascii="Times New Roman" w:hAnsi="Times New Roman"/>
        </w:rPr>
        <w:fldChar w:fldCharType="separate"/>
      </w:r>
      <w:r w:rsidR="00891F56">
        <w:rPr>
          <w:rFonts w:ascii="Times New Roman" w:hAnsi="Times New Roman"/>
          <w:noProof/>
        </w:rPr>
        <w:t>(for complementary treatments, see e.g.,Acharya 2017, Chin and Freeman 2016, Fritz and Mühlich 2018, this symposium, Grabel 2013, Helleiner 2016b, Huotari and Hanemann 2014, Hurrell 2018, Mühlich and Fritz 2016, Roberts, Armijo, and Katada 2018 , Stuenkel 2016)</w:t>
      </w:r>
      <w:r w:rsidR="00891F56">
        <w:rPr>
          <w:rFonts w:ascii="Times New Roman" w:hAnsi="Times New Roman"/>
        </w:rPr>
        <w:fldChar w:fldCharType="end"/>
      </w:r>
      <w:r w:rsidRPr="00A77BD5">
        <w:rPr>
          <w:rFonts w:ascii="Times New Roman" w:hAnsi="Times New Roman"/>
        </w:rPr>
        <w:t>.</w:t>
      </w:r>
      <w:r w:rsidRPr="00A77BD5">
        <w:rPr>
          <w:rFonts w:ascii="Times New Roman" w:hAnsi="Times New Roman"/>
          <w:highlight w:val="yellow"/>
        </w:rPr>
        <w:t xml:space="preserve"> </w:t>
      </w:r>
    </w:p>
    <w:p w14:paraId="36A52C65" w14:textId="36E32B99" w:rsidR="001E1F6C" w:rsidRPr="00A77BD5" w:rsidRDefault="001E1F6C" w:rsidP="004F7552">
      <w:pPr>
        <w:spacing w:line="360" w:lineRule="auto"/>
        <w:ind w:firstLine="720"/>
        <w:rPr>
          <w:rFonts w:ascii="Times New Roman" w:hAnsi="Times New Roman"/>
        </w:rPr>
      </w:pPr>
      <w:r w:rsidRPr="00A77BD5">
        <w:rPr>
          <w:rFonts w:ascii="Times New Roman" w:hAnsi="Times New Roman"/>
        </w:rPr>
        <w:t xml:space="preserve">In </w:t>
      </w:r>
      <w:r w:rsidR="00F16EFC" w:rsidRPr="00A77BD5">
        <w:rPr>
          <w:rFonts w:ascii="Times New Roman" w:hAnsi="Times New Roman"/>
        </w:rPr>
        <w:t>what follows</w:t>
      </w:r>
      <w:r w:rsidRPr="00A77BD5">
        <w:rPr>
          <w:rFonts w:ascii="Times New Roman" w:hAnsi="Times New Roman"/>
        </w:rPr>
        <w:t xml:space="preserve"> I present an alterna</w:t>
      </w:r>
      <w:r w:rsidR="00C11946" w:rsidRPr="00A77BD5">
        <w:rPr>
          <w:rFonts w:ascii="Times New Roman" w:hAnsi="Times New Roman"/>
        </w:rPr>
        <w:t xml:space="preserve">tive perspective on the </w:t>
      </w:r>
      <w:r w:rsidRPr="00A77BD5">
        <w:rPr>
          <w:rFonts w:ascii="Times New Roman" w:hAnsi="Times New Roman"/>
        </w:rPr>
        <w:t>continuity/discontinuit</w:t>
      </w:r>
      <w:r w:rsidR="00C11946" w:rsidRPr="00A77BD5">
        <w:rPr>
          <w:rFonts w:ascii="Times New Roman" w:hAnsi="Times New Roman"/>
        </w:rPr>
        <w:t>y binary.</w:t>
      </w:r>
      <w:r w:rsidRPr="00A77BD5">
        <w:rPr>
          <w:rFonts w:ascii="Times New Roman" w:hAnsi="Times New Roman"/>
        </w:rPr>
        <w:t xml:space="preserve"> I focus on evolution, not revolution, in EMDE institutions of developmental finance. This evolution is creating an </w:t>
      </w:r>
      <w:r w:rsidRPr="00A77BD5">
        <w:rPr>
          <w:rFonts w:ascii="Times New Roman" w:hAnsi="Times New Roman"/>
          <w:i/>
        </w:rPr>
        <w:t xml:space="preserve">incoherent </w:t>
      </w:r>
      <w:r w:rsidRPr="00A77BD5">
        <w:rPr>
          <w:rFonts w:ascii="Times New Roman" w:hAnsi="Times New Roman"/>
        </w:rPr>
        <w:t>architecture of developmental fi</w:t>
      </w:r>
      <w:r w:rsidR="001B765C" w:rsidRPr="00A77BD5">
        <w:rPr>
          <w:rFonts w:ascii="Times New Roman" w:hAnsi="Times New Roman"/>
        </w:rPr>
        <w:t>nance. I use the term incoherence</w:t>
      </w:r>
      <w:r w:rsidRPr="00A77BD5">
        <w:rPr>
          <w:rFonts w:ascii="Times New Roman" w:hAnsi="Times New Roman"/>
        </w:rPr>
        <w:t xml:space="preserve"> to </w:t>
      </w:r>
      <w:r w:rsidR="00F50914" w:rsidRPr="00A77BD5">
        <w:rPr>
          <w:rFonts w:ascii="Times New Roman" w:hAnsi="Times New Roman"/>
        </w:rPr>
        <w:t>capture the c</w:t>
      </w:r>
      <w:r w:rsidRPr="00A77BD5">
        <w:rPr>
          <w:rFonts w:ascii="Times New Roman" w:hAnsi="Times New Roman"/>
        </w:rPr>
        <w:t>omplex</w:t>
      </w:r>
      <w:r w:rsidR="00F50914" w:rsidRPr="00A77BD5">
        <w:rPr>
          <w:rFonts w:ascii="Times New Roman" w:hAnsi="Times New Roman"/>
        </w:rPr>
        <w:t>, dense, messy</w:t>
      </w:r>
      <w:r w:rsidRPr="00A77BD5">
        <w:rPr>
          <w:rFonts w:ascii="Times New Roman" w:hAnsi="Times New Roman"/>
        </w:rPr>
        <w:t xml:space="preserve">, and redundant </w:t>
      </w:r>
      <w:r w:rsidR="00FE5A3F" w:rsidRPr="00A77BD5">
        <w:rPr>
          <w:rFonts w:ascii="Times New Roman" w:hAnsi="Times New Roman"/>
        </w:rPr>
        <w:t xml:space="preserve">(i.e., duplicative) </w:t>
      </w:r>
      <w:r w:rsidR="00F50914" w:rsidRPr="00A77BD5">
        <w:rPr>
          <w:rFonts w:ascii="Times New Roman" w:hAnsi="Times New Roman"/>
        </w:rPr>
        <w:t xml:space="preserve">aspects </w:t>
      </w:r>
      <w:r w:rsidRPr="00A77BD5">
        <w:rPr>
          <w:rFonts w:ascii="Times New Roman" w:hAnsi="Times New Roman"/>
        </w:rPr>
        <w:t xml:space="preserve">of this architecture. I also argue, more contentiously, that this incoherence is </w:t>
      </w:r>
      <w:r w:rsidRPr="00A77BD5">
        <w:rPr>
          <w:rFonts w:ascii="Times New Roman" w:hAnsi="Times New Roman"/>
          <w:i/>
        </w:rPr>
        <w:t>productive</w:t>
      </w:r>
      <w:r w:rsidRPr="00A77BD5">
        <w:rPr>
          <w:rFonts w:ascii="Times New Roman" w:hAnsi="Times New Roman"/>
        </w:rPr>
        <w:t xml:space="preserve"> in particular ways, a point to which I return below.</w:t>
      </w:r>
      <w:r w:rsidRPr="00A77BD5">
        <w:rPr>
          <w:rStyle w:val="FootnoteReference"/>
          <w:rFonts w:ascii="Times New Roman" w:hAnsi="Times New Roman"/>
        </w:rPr>
        <w:t xml:space="preserve"> </w:t>
      </w:r>
      <w:r w:rsidRPr="00A77BD5">
        <w:rPr>
          <w:rFonts w:ascii="Times New Roman" w:hAnsi="Times New Roman"/>
        </w:rPr>
        <w:t xml:space="preserve">To get at this idea I draw on the extraordinary insights of Albert Hirschman. Hirschman more than any other development economist understood the virtues of pragmatic strategies and experiments (small scale and otherwise) that arose out of the concrete challenges facing economic actors and policymakers, as opposed to grand, utopian strategies deduced from the economists’ blackboard. Extending Hirschman I argue that incoherence in the developmental finance architecture opens space for the kinds of pragmatic experimentalism that </w:t>
      </w:r>
      <w:r w:rsidR="00604ECF" w:rsidRPr="00A77BD5">
        <w:rPr>
          <w:rFonts w:ascii="Times New Roman" w:hAnsi="Times New Roman"/>
        </w:rPr>
        <w:t xml:space="preserve">he </w:t>
      </w:r>
      <w:r w:rsidRPr="00A77BD5">
        <w:rPr>
          <w:rFonts w:ascii="Times New Roman" w:hAnsi="Times New Roman"/>
        </w:rPr>
        <w:t>viewed as central to autonomy-promoting development and so</w:t>
      </w:r>
      <w:r w:rsidR="00C75A1F">
        <w:rPr>
          <w:rFonts w:ascii="Times New Roman" w:hAnsi="Times New Roman"/>
        </w:rPr>
        <w:t>cial learning. What I term the ‘</w:t>
      </w:r>
      <w:proofErr w:type="spellStart"/>
      <w:r w:rsidR="00C75A1F">
        <w:rPr>
          <w:rFonts w:ascii="Times New Roman" w:hAnsi="Times New Roman"/>
        </w:rPr>
        <w:t>Hirschmanian</w:t>
      </w:r>
      <w:proofErr w:type="spellEnd"/>
      <w:r w:rsidR="00C75A1F">
        <w:rPr>
          <w:rFonts w:ascii="Times New Roman" w:hAnsi="Times New Roman"/>
        </w:rPr>
        <w:t xml:space="preserve"> mindset’</w:t>
      </w:r>
      <w:r w:rsidRPr="00A77BD5">
        <w:rPr>
          <w:rFonts w:ascii="Times New Roman" w:hAnsi="Times New Roman"/>
        </w:rPr>
        <w:t xml:space="preserve"> yields a more subtle and penetrating analysis of the current conjuncture than is on offer by those who hold tightly to continuity</w:t>
      </w:r>
      <w:r w:rsidR="00BB5239" w:rsidRPr="00A77BD5">
        <w:rPr>
          <w:rFonts w:ascii="Times New Roman" w:hAnsi="Times New Roman"/>
        </w:rPr>
        <w:t>/</w:t>
      </w:r>
      <w:r w:rsidRPr="00A77BD5">
        <w:rPr>
          <w:rFonts w:ascii="Times New Roman" w:hAnsi="Times New Roman"/>
        </w:rPr>
        <w:t>discontinuity</w:t>
      </w:r>
      <w:r w:rsidR="00407B24" w:rsidRPr="00A77BD5">
        <w:rPr>
          <w:rFonts w:ascii="Times New Roman" w:hAnsi="Times New Roman"/>
        </w:rPr>
        <w:t xml:space="preserve"> narratives</w:t>
      </w:r>
      <w:r w:rsidRPr="00A77BD5">
        <w:rPr>
          <w:rFonts w:ascii="Times New Roman" w:hAnsi="Times New Roman"/>
        </w:rPr>
        <w:t xml:space="preserve">. </w:t>
      </w:r>
    </w:p>
    <w:p w14:paraId="79A4E38C" w14:textId="01844300" w:rsidR="001E1F6C" w:rsidRPr="00A77BD5" w:rsidRDefault="001E1F6C" w:rsidP="004F7552">
      <w:pPr>
        <w:spacing w:line="360" w:lineRule="auto"/>
        <w:ind w:firstLine="720"/>
        <w:rPr>
          <w:rFonts w:ascii="Times New Roman" w:hAnsi="Times New Roman"/>
        </w:rPr>
      </w:pPr>
      <w:r w:rsidRPr="00A77BD5">
        <w:rPr>
          <w:rFonts w:ascii="Times New Roman" w:hAnsi="Times New Roman"/>
        </w:rPr>
        <w:t>To foreshadow my argument</w:t>
      </w:r>
      <w:r w:rsidR="001A054A" w:rsidRPr="00A77BD5">
        <w:rPr>
          <w:rFonts w:ascii="Times New Roman" w:hAnsi="Times New Roman"/>
        </w:rPr>
        <w:t>:</w:t>
      </w:r>
      <w:r w:rsidRPr="00A77BD5">
        <w:rPr>
          <w:rFonts w:ascii="Times New Roman" w:hAnsi="Times New Roman"/>
        </w:rPr>
        <w:t xml:space="preserve"> I arg</w:t>
      </w:r>
      <w:r w:rsidR="0083500F" w:rsidRPr="00A77BD5">
        <w:rPr>
          <w:rFonts w:ascii="Times New Roman" w:hAnsi="Times New Roman"/>
        </w:rPr>
        <w:t xml:space="preserve">ue that a crucial legacy of </w:t>
      </w:r>
      <w:r w:rsidRPr="00A77BD5">
        <w:rPr>
          <w:rFonts w:ascii="Times New Roman" w:hAnsi="Times New Roman"/>
        </w:rPr>
        <w:t>recent crises is the willingness and ability of EMDEs to undertake ad hoc, uncoordinated innovation in institutions of developmental finance.</w:t>
      </w:r>
      <w:r w:rsidR="007E0F27" w:rsidRPr="00A77BD5">
        <w:rPr>
          <w:rFonts w:ascii="Times New Roman" w:hAnsi="Times New Roman"/>
        </w:rPr>
        <w:t xml:space="preserve"> R</w:t>
      </w:r>
      <w:r w:rsidRPr="00A77BD5">
        <w:rPr>
          <w:rFonts w:ascii="Times New Roman" w:hAnsi="Times New Roman"/>
        </w:rPr>
        <w:t>ecent crisis motivated policymaker</w:t>
      </w:r>
      <w:r w:rsidR="00737A70" w:rsidRPr="00A77BD5">
        <w:rPr>
          <w:rFonts w:ascii="Times New Roman" w:hAnsi="Times New Roman"/>
        </w:rPr>
        <w:t xml:space="preserve">s to establish entirely new </w:t>
      </w:r>
      <w:proofErr w:type="spellStart"/>
      <w:r w:rsidR="00737A70" w:rsidRPr="00A77BD5">
        <w:rPr>
          <w:rFonts w:ascii="Times New Roman" w:hAnsi="Times New Roman"/>
        </w:rPr>
        <w:t>subregional</w:t>
      </w:r>
      <w:proofErr w:type="spellEnd"/>
      <w:r w:rsidR="00737A70" w:rsidRPr="00A77BD5">
        <w:rPr>
          <w:rFonts w:ascii="Times New Roman" w:hAnsi="Times New Roman"/>
        </w:rPr>
        <w:t xml:space="preserve">, regional, and </w:t>
      </w:r>
      <w:proofErr w:type="spellStart"/>
      <w:r w:rsidR="00737A70" w:rsidRPr="00A77BD5">
        <w:rPr>
          <w:rFonts w:ascii="Times New Roman" w:hAnsi="Times New Roman"/>
        </w:rPr>
        <w:t>trans</w:t>
      </w:r>
      <w:r w:rsidRPr="00A77BD5">
        <w:rPr>
          <w:rFonts w:ascii="Times New Roman" w:hAnsi="Times New Roman"/>
        </w:rPr>
        <w:t>regional</w:t>
      </w:r>
      <w:proofErr w:type="spellEnd"/>
      <w:r w:rsidRPr="00A77BD5">
        <w:rPr>
          <w:rFonts w:ascii="Times New Roman" w:hAnsi="Times New Roman"/>
        </w:rPr>
        <w:t xml:space="preserve"> institutions; build out existing institutions, substantially increasing their funding and capacity; expand their mandates into new activities; </w:t>
      </w:r>
      <w:r w:rsidR="00AF2FC6" w:rsidRPr="00A77BD5">
        <w:rPr>
          <w:rFonts w:ascii="Times New Roman" w:hAnsi="Times New Roman"/>
        </w:rPr>
        <w:t>and, in some cases (and with support from</w:t>
      </w:r>
      <w:r w:rsidRPr="00A77BD5">
        <w:rPr>
          <w:rFonts w:ascii="Times New Roman" w:hAnsi="Times New Roman"/>
        </w:rPr>
        <w:t xml:space="preserve"> the BWIs)</w:t>
      </w:r>
      <w:r w:rsidR="00931874" w:rsidRPr="00A77BD5">
        <w:rPr>
          <w:rFonts w:ascii="Times New Roman" w:hAnsi="Times New Roman"/>
        </w:rPr>
        <w:t xml:space="preserve"> explore ways in which they</w:t>
      </w:r>
      <w:r w:rsidRPr="00A77BD5">
        <w:rPr>
          <w:rFonts w:ascii="Times New Roman" w:hAnsi="Times New Roman"/>
        </w:rPr>
        <w:t xml:space="preserve"> might link to and coordinate with one another and with the BWIs. I argue that these innovations should not be considered in terms of whether they displace the coherent (i.e., unipolar, monolithic, and streamlined) postwar architecture centered on the BWIs. They do not. But they do amount to something</w:t>
      </w:r>
      <w:r w:rsidR="001A054A" w:rsidRPr="00A77BD5">
        <w:rPr>
          <w:rFonts w:ascii="Times New Roman" w:hAnsi="Times New Roman"/>
        </w:rPr>
        <w:t xml:space="preserve"> significant</w:t>
      </w:r>
      <w:r w:rsidRPr="00A77BD5">
        <w:rPr>
          <w:rFonts w:ascii="Times New Roman" w:hAnsi="Times New Roman"/>
        </w:rPr>
        <w:t>. That something is an</w:t>
      </w:r>
      <w:r w:rsidR="00E45643" w:rsidRPr="00A77BD5">
        <w:rPr>
          <w:rFonts w:ascii="Times New Roman" w:hAnsi="Times New Roman"/>
        </w:rPr>
        <w:t xml:space="preserve"> </w:t>
      </w:r>
      <w:r w:rsidRPr="00A77BD5">
        <w:rPr>
          <w:rFonts w:ascii="Times New Roman" w:hAnsi="Times New Roman"/>
        </w:rPr>
        <w:t xml:space="preserve">increasingly incoherent GFA in which disparate and, in some cases, overlapping, redundant, and interconnected institutions complement the BWIs </w:t>
      </w:r>
      <w:r w:rsidR="00F35395" w:rsidRPr="00A77BD5">
        <w:rPr>
          <w:rFonts w:ascii="Times New Roman" w:hAnsi="Times New Roman"/>
        </w:rPr>
        <w:t>and</w:t>
      </w:r>
      <w:r w:rsidR="00E81135" w:rsidRPr="00A77BD5">
        <w:rPr>
          <w:rFonts w:ascii="Times New Roman" w:hAnsi="Times New Roman"/>
        </w:rPr>
        <w:t>,</w:t>
      </w:r>
      <w:r w:rsidR="00F35395" w:rsidRPr="00A77BD5">
        <w:rPr>
          <w:rFonts w:ascii="Times New Roman" w:hAnsi="Times New Roman"/>
        </w:rPr>
        <w:t xml:space="preserve"> in</w:t>
      </w:r>
      <w:r w:rsidRPr="00A77BD5">
        <w:rPr>
          <w:rFonts w:ascii="Times New Roman" w:hAnsi="Times New Roman"/>
        </w:rPr>
        <w:t xml:space="preserve"> limited domains</w:t>
      </w:r>
      <w:r w:rsidR="00E81135" w:rsidRPr="00A77BD5">
        <w:rPr>
          <w:rFonts w:ascii="Times New Roman" w:hAnsi="Times New Roman"/>
        </w:rPr>
        <w:t>,</w:t>
      </w:r>
      <w:r w:rsidRPr="00A77BD5">
        <w:rPr>
          <w:rFonts w:ascii="Times New Roman" w:hAnsi="Times New Roman"/>
        </w:rPr>
        <w:t xml:space="preserve"> may compete with them. I argue that emergent incoherence and redundancy offers </w:t>
      </w:r>
      <w:r w:rsidR="00E81135" w:rsidRPr="00A77BD5">
        <w:rPr>
          <w:rFonts w:ascii="Times New Roman" w:hAnsi="Times New Roman"/>
        </w:rPr>
        <w:t xml:space="preserve">new and expanding </w:t>
      </w:r>
      <w:r w:rsidR="00443E98" w:rsidRPr="00A77BD5">
        <w:rPr>
          <w:rFonts w:ascii="Times New Roman" w:hAnsi="Times New Roman"/>
        </w:rPr>
        <w:t>opportunities for EMDEs</w:t>
      </w:r>
      <w:r w:rsidR="00E81135" w:rsidRPr="00A77BD5">
        <w:rPr>
          <w:rFonts w:ascii="Times New Roman" w:hAnsi="Times New Roman"/>
        </w:rPr>
        <w:t>. I</w:t>
      </w:r>
      <w:r w:rsidR="00A80B78" w:rsidRPr="00A77BD5">
        <w:rPr>
          <w:rFonts w:ascii="Times New Roman" w:hAnsi="Times New Roman"/>
        </w:rPr>
        <w:t>t</w:t>
      </w:r>
      <w:r w:rsidR="00E81135" w:rsidRPr="00A77BD5">
        <w:rPr>
          <w:rFonts w:ascii="Times New Roman" w:hAnsi="Times New Roman"/>
        </w:rPr>
        <w:t xml:space="preserve"> is </w:t>
      </w:r>
      <w:r w:rsidRPr="00A77BD5">
        <w:rPr>
          <w:rFonts w:ascii="Times New Roman" w:hAnsi="Times New Roman"/>
        </w:rPr>
        <w:t xml:space="preserve">in this sense </w:t>
      </w:r>
      <w:r w:rsidR="0083500F" w:rsidRPr="00A77BD5">
        <w:rPr>
          <w:rFonts w:ascii="Times New Roman" w:hAnsi="Times New Roman"/>
        </w:rPr>
        <w:t xml:space="preserve">that </w:t>
      </w:r>
      <w:r w:rsidRPr="00A77BD5">
        <w:rPr>
          <w:rFonts w:ascii="Times New Roman" w:hAnsi="Times New Roman"/>
        </w:rPr>
        <w:t>incoherence is productive.</w:t>
      </w:r>
      <w:r w:rsidRPr="00A77BD5">
        <w:rPr>
          <w:rStyle w:val="FootnoteReference"/>
          <w:rFonts w:ascii="Times New Roman" w:hAnsi="Times New Roman"/>
        </w:rPr>
        <w:footnoteReference w:id="2"/>
      </w:r>
      <w:r w:rsidRPr="00A77BD5">
        <w:rPr>
          <w:rFonts w:ascii="Times New Roman" w:hAnsi="Times New Roman"/>
        </w:rPr>
        <w:t xml:space="preserve"> </w:t>
      </w:r>
      <w:r w:rsidR="00377A4D" w:rsidRPr="00A77BD5">
        <w:rPr>
          <w:rFonts w:ascii="Times New Roman" w:hAnsi="Times New Roman"/>
        </w:rPr>
        <w:t xml:space="preserve">This is not </w:t>
      </w:r>
      <w:r w:rsidR="00E81135" w:rsidRPr="00A77BD5">
        <w:rPr>
          <w:rFonts w:ascii="Times New Roman" w:hAnsi="Times New Roman"/>
        </w:rPr>
        <w:t xml:space="preserve">to </w:t>
      </w:r>
      <w:r w:rsidR="00377A4D" w:rsidRPr="00A77BD5">
        <w:rPr>
          <w:rFonts w:ascii="Times New Roman" w:hAnsi="Times New Roman"/>
        </w:rPr>
        <w:t>say that</w:t>
      </w:r>
      <w:r w:rsidR="00506165" w:rsidRPr="00A77BD5">
        <w:rPr>
          <w:rFonts w:ascii="Times New Roman" w:hAnsi="Times New Roman"/>
        </w:rPr>
        <w:t xml:space="preserve"> incoherence and redundancy </w:t>
      </w:r>
      <w:r w:rsidR="00377A4D" w:rsidRPr="00A77BD5">
        <w:rPr>
          <w:rFonts w:ascii="Times New Roman" w:hAnsi="Times New Roman"/>
        </w:rPr>
        <w:t xml:space="preserve">pose </w:t>
      </w:r>
      <w:r w:rsidR="0025649D" w:rsidRPr="00A77BD5">
        <w:rPr>
          <w:rFonts w:ascii="Times New Roman" w:hAnsi="Times New Roman"/>
        </w:rPr>
        <w:t xml:space="preserve">no </w:t>
      </w:r>
      <w:r w:rsidR="00377A4D" w:rsidRPr="00A77BD5">
        <w:rPr>
          <w:rFonts w:ascii="Times New Roman" w:hAnsi="Times New Roman"/>
        </w:rPr>
        <w:t>risks, as I acknowledge in the concluding section</w:t>
      </w:r>
      <w:r w:rsidR="00506165" w:rsidRPr="00A77BD5">
        <w:rPr>
          <w:rFonts w:ascii="Times New Roman" w:hAnsi="Times New Roman"/>
        </w:rPr>
        <w:t>.</w:t>
      </w:r>
      <w:r w:rsidR="00377A4D" w:rsidRPr="00A77BD5">
        <w:rPr>
          <w:rFonts w:ascii="Times New Roman" w:hAnsi="Times New Roman"/>
        </w:rPr>
        <w:t xml:space="preserve"> </w:t>
      </w:r>
      <w:r w:rsidR="00130052" w:rsidRPr="00A77BD5">
        <w:rPr>
          <w:rFonts w:ascii="Times New Roman" w:hAnsi="Times New Roman"/>
        </w:rPr>
        <w:t>But t</w:t>
      </w:r>
      <w:r w:rsidRPr="00A77BD5">
        <w:rPr>
          <w:rFonts w:ascii="Times New Roman" w:hAnsi="Times New Roman"/>
        </w:rPr>
        <w:t xml:space="preserve">aken together the experimentation and </w:t>
      </w:r>
      <w:r w:rsidR="00BC44E5" w:rsidRPr="00A77BD5">
        <w:rPr>
          <w:rFonts w:ascii="Times New Roman" w:hAnsi="Times New Roman"/>
        </w:rPr>
        <w:t xml:space="preserve">innovation that is underway is </w:t>
      </w:r>
      <w:r w:rsidR="00C75A1F">
        <w:rPr>
          <w:rFonts w:ascii="Times New Roman" w:hAnsi="Times New Roman"/>
        </w:rPr>
        <w:t>productive because it ‘thickens’</w:t>
      </w:r>
      <w:r w:rsidRPr="00A77BD5">
        <w:rPr>
          <w:rFonts w:ascii="Times New Roman" w:hAnsi="Times New Roman"/>
        </w:rPr>
        <w:t xml:space="preserve"> and diversifies the financial landscape in EMDEs. In addition, </w:t>
      </w:r>
      <w:r w:rsidR="00197A96" w:rsidRPr="00A77BD5">
        <w:rPr>
          <w:rFonts w:ascii="Times New Roman" w:hAnsi="Times New Roman"/>
        </w:rPr>
        <w:t xml:space="preserve">a densely populated landscape </w:t>
      </w:r>
      <w:r w:rsidR="00C41FEC" w:rsidRPr="00A77BD5">
        <w:rPr>
          <w:rFonts w:ascii="Times New Roman" w:hAnsi="Times New Roman"/>
        </w:rPr>
        <w:t xml:space="preserve">expands policy space and </w:t>
      </w:r>
      <w:r w:rsidRPr="00A77BD5">
        <w:rPr>
          <w:rFonts w:ascii="Times New Roman" w:hAnsi="Times New Roman"/>
        </w:rPr>
        <w:t xml:space="preserve">enhances opportunities to achieve </w:t>
      </w:r>
      <w:r w:rsidR="00C41FEC" w:rsidRPr="00A77BD5">
        <w:rPr>
          <w:rFonts w:ascii="Times New Roman" w:hAnsi="Times New Roman"/>
        </w:rPr>
        <w:t xml:space="preserve">important </w:t>
      </w:r>
      <w:r w:rsidRPr="00A77BD5">
        <w:rPr>
          <w:rFonts w:ascii="Times New Roman" w:hAnsi="Times New Roman"/>
        </w:rPr>
        <w:t>development goals. This is because in a more decentralized, heterogeneous, pluripolar GFA there are increased opportunities for problem solving and learning</w:t>
      </w:r>
      <w:r w:rsidR="00DC0C08" w:rsidRPr="00A77BD5">
        <w:rPr>
          <w:rFonts w:ascii="Times New Roman" w:hAnsi="Times New Roman"/>
        </w:rPr>
        <w:t xml:space="preserve"> by doing and from others;</w:t>
      </w:r>
      <w:r w:rsidRPr="00A77BD5">
        <w:rPr>
          <w:rFonts w:ascii="Times New Roman" w:hAnsi="Times New Roman"/>
        </w:rPr>
        <w:t xml:space="preserve"> creation of new partnerships, networks, and coalitions; forum shopping on the part of smaller countries that traditionally have the fewest options and face the greatest constraints on policy space; and developmenta</w:t>
      </w:r>
      <w:r w:rsidR="00DC0C08" w:rsidRPr="00A77BD5">
        <w:rPr>
          <w:rFonts w:ascii="Times New Roman" w:hAnsi="Times New Roman"/>
        </w:rPr>
        <w:t>l finance that fill gaps in the</w:t>
      </w:r>
      <w:r w:rsidR="00566677" w:rsidRPr="00A77BD5">
        <w:rPr>
          <w:rFonts w:ascii="Times New Roman" w:hAnsi="Times New Roman"/>
        </w:rPr>
        <w:t xml:space="preserve"> developmental finance </w:t>
      </w:r>
      <w:r w:rsidRPr="00A77BD5">
        <w:rPr>
          <w:rFonts w:ascii="Times New Roman" w:hAnsi="Times New Roman"/>
        </w:rPr>
        <w:t xml:space="preserve">architecture that for so long has been monopolized by the BWIs. </w:t>
      </w:r>
      <w:r w:rsidR="00C41FEC" w:rsidRPr="00A77BD5">
        <w:rPr>
          <w:rFonts w:ascii="Times New Roman" w:hAnsi="Times New Roman"/>
        </w:rPr>
        <w:t>Fi</w:t>
      </w:r>
      <w:r w:rsidRPr="00A77BD5">
        <w:rPr>
          <w:rFonts w:ascii="Times New Roman" w:hAnsi="Times New Roman"/>
        </w:rPr>
        <w:t>nally, the architectural innovations that are unfolding are complicating the terr</w:t>
      </w:r>
      <w:r w:rsidR="00793AFD">
        <w:rPr>
          <w:rFonts w:ascii="Times New Roman" w:hAnsi="Times New Roman"/>
        </w:rPr>
        <w:t>ain on which the BWIs operate. ‘Competitive pluralism’</w:t>
      </w:r>
      <w:r w:rsidRPr="00A77BD5">
        <w:rPr>
          <w:rFonts w:ascii="Times New Roman" w:hAnsi="Times New Roman"/>
        </w:rPr>
        <w:t xml:space="preserve"> (as per Culpepper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ExcludeAuth="1"&gt;&lt;Author&gt;Culpeper&lt;/Author&gt;&lt;Year&gt;1997&lt;/Year&gt;&lt;RecNum&gt;1779&lt;/RecNum&gt;&lt;DisplayText&gt;(1997)&lt;/DisplayText&gt;&lt;record&gt;&lt;rec-number&gt;1779&lt;/rec-number&gt;&lt;foreign-keys&gt;&lt;key app="EN" db-id="x2xf5e95kefpz8e59fcx5psgerr9wepetvet" timestamp="1477410758"&gt;1779&lt;/key&gt;&lt;/foreign-keys&gt;&lt;ref-type name="Book"&gt;6&lt;/ref-type&gt;&lt;contributors&gt;&lt;authors&gt;&lt;author&gt;Culpeper, Roy&lt;/author&gt;&lt;/authors&gt;&lt;/contributors&gt;&lt;titles&gt;&lt;title&gt;The Multilateral Development Banks: Vol. 5, Titans or Behemoths?&lt;/title&gt;&lt;/titles&gt;&lt;dates&gt;&lt;year&gt;1997&lt;/year&gt;&lt;/dates&gt;&lt;pub-location&gt;Boulder, CO&lt;/pub-location&gt;&lt;publisher&gt;Lynne Rienner&lt;/publisher&gt;&lt;urls&gt;&lt;/urls&gt;&lt;/record&gt;&lt;/Cite&gt;&lt;/EndNote&gt;</w:instrText>
      </w:r>
      <w:r w:rsidR="00891F56">
        <w:rPr>
          <w:rFonts w:ascii="Times New Roman" w:hAnsi="Times New Roman"/>
        </w:rPr>
        <w:fldChar w:fldCharType="separate"/>
      </w:r>
      <w:r w:rsidR="00891F56">
        <w:rPr>
          <w:rFonts w:ascii="Times New Roman" w:hAnsi="Times New Roman"/>
          <w:noProof/>
        </w:rPr>
        <w:t>(1997)</w:t>
      </w:r>
      <w:r w:rsidR="00891F56">
        <w:rPr>
          <w:rFonts w:ascii="Times New Roman" w:hAnsi="Times New Roman"/>
        </w:rPr>
        <w:fldChar w:fldCharType="end"/>
      </w:r>
      <w:r w:rsidRPr="00A77BD5">
        <w:rPr>
          <w:rFonts w:ascii="Times New Roman" w:hAnsi="Times New Roman"/>
        </w:rPr>
        <w:t xml:space="preserve"> places pressure on the BWIs to respond to concerns and deficiencies that have long been articulated by EMDE representatives. </w:t>
      </w:r>
    </w:p>
    <w:p w14:paraId="45BA6F4A" w14:textId="25D52204" w:rsidR="001E1F6C" w:rsidRPr="00A77BD5" w:rsidRDefault="007C2342" w:rsidP="004F7552">
      <w:pPr>
        <w:spacing w:line="360" w:lineRule="auto"/>
        <w:ind w:firstLine="720"/>
        <w:rPr>
          <w:rFonts w:ascii="Times New Roman" w:hAnsi="Times New Roman"/>
        </w:rPr>
      </w:pPr>
      <w:r w:rsidRPr="00A77BD5">
        <w:rPr>
          <w:rFonts w:ascii="Times New Roman" w:hAnsi="Times New Roman"/>
        </w:rPr>
        <w:t>My normative stance on</w:t>
      </w:r>
      <w:r w:rsidR="001E1F6C" w:rsidRPr="00A77BD5">
        <w:rPr>
          <w:rFonts w:ascii="Times New Roman" w:hAnsi="Times New Roman"/>
        </w:rPr>
        <w:t xml:space="preserve"> incoherence breaks sharply with the embrace of coherent systems, architectures, models—in short, of a singular </w:t>
      </w:r>
      <w:proofErr w:type="spellStart"/>
      <w:r w:rsidR="001E1F6C" w:rsidRPr="00A77BD5">
        <w:rPr>
          <w:rFonts w:ascii="Times New Roman" w:hAnsi="Times New Roman"/>
          <w:i/>
        </w:rPr>
        <w:t>weltenshaung</w:t>
      </w:r>
      <w:proofErr w:type="spellEnd"/>
      <w:r w:rsidR="001E1F6C" w:rsidRPr="00A77BD5">
        <w:rPr>
          <w:rFonts w:ascii="Times New Roman" w:hAnsi="Times New Roman"/>
        </w:rPr>
        <w:t xml:space="preserve">--that </w:t>
      </w:r>
      <w:r w:rsidR="00667CB6" w:rsidRPr="00A77BD5">
        <w:rPr>
          <w:rFonts w:ascii="Times New Roman" w:hAnsi="Times New Roman"/>
        </w:rPr>
        <w:t>mark many social science traditions,</w:t>
      </w:r>
      <w:r w:rsidR="001E1F6C" w:rsidRPr="00A77BD5">
        <w:rPr>
          <w:rFonts w:ascii="Times New Roman" w:hAnsi="Times New Roman"/>
        </w:rPr>
        <w:t xml:space="preserve"> especially economi</w:t>
      </w:r>
      <w:r w:rsidR="00667CB6" w:rsidRPr="00A77BD5">
        <w:rPr>
          <w:rFonts w:ascii="Times New Roman" w:hAnsi="Times New Roman"/>
        </w:rPr>
        <w:t>cs</w:t>
      </w:r>
      <w:r w:rsidR="005E0096"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&lt;EndNote&gt;&lt;Cite&gt;&lt;Author&gt;Grabel&lt;/Author&gt;&lt;Year&gt;2018&lt;/Year&gt;&lt;RecNum&gt;1960&lt;/RecNum&gt;&lt;DisplayText&gt;(Grabel 2018)&lt;/DisplayText&gt;&lt;record&gt;&lt;rec-number&gt;1960&lt;/rec-number&gt;&lt;foreign-keys&gt;&lt;key app="EN" db-id="x2xf5e95kefpz8e59fcx5psgerr9wepetvet" timestamp="1532786913"&gt;1960&lt;/key&gt;&lt;/foreign-keys&gt;&lt;ref-type name="Journal Article"&gt;17&lt;/ref-type&gt;&lt;contributors&gt;&lt;authors&gt;&lt;author&gt;Grabel, Ilene&lt;/author&gt;&lt;/authors&gt;&lt;/contributors&gt;&lt;titles&gt;&lt;title&gt;Reflections on the Economics Profession, the Neoliberal Conjuncture, and the Emerging Democratic Crisis: An Analysis in the Spirit of Albert O. Hirschman&lt;/title&gt;&lt;secondary-title&gt;Forum for Social Economics&lt;/secondary-title&gt;&lt;/titles&gt;&lt;periodical&gt;&lt;full-title&gt;Forum for Social Economics&lt;/full-title&gt;&lt;/periodical&gt;&lt;pages&gt;173-83&lt;/pages&gt;&lt;volume&gt;47&lt;/volume&gt;&lt;number&gt;2&lt;/number&gt;&lt;dates&gt;&lt;year&gt;2018&lt;/year&gt;&lt;/dates&gt;&lt;urls&gt;&lt;related-urls&gt;&lt;url&gt;DOI: 10.1080/07360932.2018.1451761&lt;/url&gt;&lt;/related-urls&gt;&lt;/urls&gt;&lt;/record&gt;&lt;/Cite&gt;&lt;/EndNote&gt;</w:instrText>
      </w:r>
      <w:r w:rsidR="00891F56">
        <w:rPr>
          <w:rFonts w:ascii="Times New Roman" w:hAnsi="Times New Roman"/>
        </w:rPr>
        <w:fldChar w:fldCharType="separate"/>
      </w:r>
      <w:r w:rsidR="00891F56">
        <w:rPr>
          <w:rFonts w:ascii="Times New Roman" w:hAnsi="Times New Roman"/>
          <w:noProof/>
        </w:rPr>
        <w:t>(Grabel 2018)</w:t>
      </w:r>
      <w:r w:rsidR="00891F56">
        <w:rPr>
          <w:rFonts w:ascii="Times New Roman" w:hAnsi="Times New Roman"/>
        </w:rPr>
        <w:fldChar w:fldCharType="end"/>
      </w:r>
      <w:r w:rsidR="001E1F6C" w:rsidRPr="00A77BD5">
        <w:rPr>
          <w:rFonts w:ascii="Times New Roman" w:hAnsi="Times New Roman"/>
        </w:rPr>
        <w:t xml:space="preserve">. Indeed, some such as </w:t>
      </w:r>
      <w:proofErr w:type="spellStart"/>
      <w:r w:rsidR="001E1F6C" w:rsidRPr="00A77BD5">
        <w:rPr>
          <w:rFonts w:ascii="Times New Roman" w:hAnsi="Times New Roman"/>
        </w:rPr>
        <w:t>Ocampo</w:t>
      </w:r>
      <w:proofErr w:type="spellEnd"/>
      <w:r w:rsidR="001E1F6C"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ExcludeAuth="1"&gt;&lt;Author&gt;Ocampo&lt;/Author&gt;&lt;Year&gt;2017&lt;/Year&gt;&lt;RecNum&gt;1950&lt;/RecNum&gt;&lt;DisplayText&gt;(2017)&lt;/DisplayText&gt;&lt;record&gt;&lt;rec-number&gt;1950&lt;/rec-number&gt;&lt;foreign-keys&gt;&lt;key app="EN" db-id="x2xf5e95kefpz8e59fcx5psgerr9wepetvet" timestamp="1532298561"&gt;1950&lt;/key&gt;&lt;/foreign-keys&gt;&lt;ref-type name="Book"&gt;6&lt;/ref-type&gt;&lt;contributors&gt;&lt;authors&gt;&lt;author&gt;Ocampo, José Antonio&lt;/author&gt;&lt;/authors&gt;&lt;/contributors&gt;&lt;titles&gt;&lt;title&gt;Resetting the International Monetary (Non)system&lt;/title&gt;&lt;/titles&gt;&lt;dates&gt;&lt;year&gt;2017&lt;/year&gt;&lt;/dates&gt;&lt;publisher&gt;Oxford University Press&lt;/publisher&gt;&lt;isbn&gt;9780191787478&lt;/isbn&gt;&lt;urls&gt;&lt;related-urls&gt;&lt;url&gt;https://books.google.com/books?id=26RIswEACAAJ&lt;/url&gt;&lt;/related-urls&gt;&lt;/urls&gt;&lt;/record&gt;&lt;/Cite&gt;&lt;/EndNote&gt;</w:instrText>
      </w:r>
      <w:r w:rsidR="00891F56">
        <w:rPr>
          <w:rFonts w:ascii="Times New Roman" w:hAnsi="Times New Roman"/>
        </w:rPr>
        <w:fldChar w:fldCharType="separate"/>
      </w:r>
      <w:r w:rsidR="00891F56">
        <w:rPr>
          <w:rFonts w:ascii="Times New Roman" w:hAnsi="Times New Roman"/>
          <w:noProof/>
        </w:rPr>
        <w:t>(2017)</w:t>
      </w:r>
      <w:r w:rsidR="00891F56">
        <w:rPr>
          <w:rFonts w:ascii="Times New Roman" w:hAnsi="Times New Roman"/>
        </w:rPr>
        <w:fldChar w:fldCharType="end"/>
      </w:r>
      <w:r w:rsidR="001E1F6C" w:rsidRPr="00A77BD5">
        <w:rPr>
          <w:rFonts w:ascii="Times New Roman" w:hAnsi="Times New Roman"/>
        </w:rPr>
        <w:t xml:space="preserve"> (following </w:t>
      </w:r>
      <w:proofErr w:type="spellStart"/>
      <w:r w:rsidR="001E1F6C" w:rsidRPr="00A77BD5">
        <w:rPr>
          <w:rFonts w:ascii="Times New Roman" w:hAnsi="Times New Roman"/>
        </w:rPr>
        <w:t>Triffin</w:t>
      </w:r>
      <w:proofErr w:type="spellEnd"/>
      <w:r w:rsidR="001E1F6C" w:rsidRPr="00A77BD5">
        <w:rPr>
          <w:rFonts w:ascii="Times New Roman" w:hAnsi="Times New Roman"/>
        </w:rPr>
        <w:t xml:space="preserve"> and others) see the period from the breakdown of B</w:t>
      </w:r>
      <w:r w:rsidR="00A34E0E" w:rsidRPr="00A77BD5">
        <w:rPr>
          <w:rFonts w:ascii="Times New Roman" w:hAnsi="Times New Roman"/>
        </w:rPr>
        <w:t>retton Woods</w:t>
      </w:r>
      <w:r w:rsidR="001E1F6C" w:rsidRPr="00A77BD5">
        <w:rPr>
          <w:rFonts w:ascii="Times New Roman" w:hAnsi="Times New Roman"/>
        </w:rPr>
        <w:t xml:space="preserve"> to the presen</w:t>
      </w:r>
      <w:r w:rsidR="00EB56AB">
        <w:rPr>
          <w:rFonts w:ascii="Times New Roman" w:hAnsi="Times New Roman"/>
        </w:rPr>
        <w:t>t as</w:t>
      </w:r>
      <w:r w:rsidR="00EE0181">
        <w:rPr>
          <w:rFonts w:ascii="Times New Roman" w:hAnsi="Times New Roman"/>
        </w:rPr>
        <w:t xml:space="preserve"> an interregnum in which a ‘(non)</w:t>
      </w:r>
      <w:r w:rsidR="00EB56AB">
        <w:rPr>
          <w:rFonts w:ascii="Times New Roman" w:hAnsi="Times New Roman"/>
        </w:rPr>
        <w:t>system’</w:t>
      </w:r>
      <w:r w:rsidR="001E1F6C" w:rsidRPr="00A77BD5">
        <w:rPr>
          <w:rFonts w:ascii="Times New Roman" w:hAnsi="Times New Roman"/>
        </w:rPr>
        <w:t xml:space="preserve"> has evolved through ad hoc processes. In </w:t>
      </w:r>
      <w:proofErr w:type="spellStart"/>
      <w:r w:rsidR="001E1F6C" w:rsidRPr="00A77BD5">
        <w:rPr>
          <w:rFonts w:ascii="Times New Roman" w:hAnsi="Times New Roman"/>
        </w:rPr>
        <w:t>Oc</w:t>
      </w:r>
      <w:r w:rsidR="0055749F" w:rsidRPr="00A77BD5">
        <w:rPr>
          <w:rFonts w:ascii="Times New Roman" w:hAnsi="Times New Roman"/>
        </w:rPr>
        <w:t>ampo’s</w:t>
      </w:r>
      <w:proofErr w:type="spellEnd"/>
      <w:r w:rsidR="0055749F" w:rsidRPr="00A77BD5">
        <w:rPr>
          <w:rFonts w:ascii="Times New Roman" w:hAnsi="Times New Roman"/>
        </w:rPr>
        <w:t xml:space="preserve"> view </w:t>
      </w:r>
      <w:r w:rsidR="001E1F6C" w:rsidRPr="00A77BD5">
        <w:rPr>
          <w:rFonts w:ascii="Times New Roman" w:hAnsi="Times New Roman"/>
        </w:rPr>
        <w:t xml:space="preserve">the deepening incoherence of the present moves the global monetary system </w:t>
      </w:r>
      <w:r w:rsidR="00642333" w:rsidRPr="00A77BD5">
        <w:rPr>
          <w:rFonts w:ascii="Times New Roman" w:hAnsi="Times New Roman"/>
        </w:rPr>
        <w:t xml:space="preserve">toward </w:t>
      </w:r>
      <w:r w:rsidR="001E1F6C" w:rsidRPr="00A77BD5">
        <w:rPr>
          <w:rFonts w:ascii="Times New Roman" w:hAnsi="Times New Roman"/>
        </w:rPr>
        <w:t xml:space="preserve">further dysfunction, which is particularly detrimental to EMDEs.  </w:t>
      </w:r>
    </w:p>
    <w:p w14:paraId="35365D39" w14:textId="7373260A" w:rsidR="001E1F6C" w:rsidRPr="00A77BD5" w:rsidRDefault="001E1F6C" w:rsidP="004F7552">
      <w:pPr>
        <w:widowControl w:val="0"/>
        <w:autoSpaceDE w:val="0"/>
        <w:autoSpaceDN w:val="0"/>
        <w:adjustRightInd w:val="0"/>
        <w:spacing w:line="360" w:lineRule="auto"/>
        <w:ind w:firstLine="720"/>
        <w:rPr>
          <w:rFonts w:ascii="Times New Roman" w:hAnsi="Times New Roman"/>
        </w:rPr>
      </w:pPr>
      <w:r w:rsidRPr="00A77BD5">
        <w:rPr>
          <w:rFonts w:ascii="Times New Roman" w:hAnsi="Times New Roman"/>
        </w:rPr>
        <w:t xml:space="preserve">This article speaks to </w:t>
      </w:r>
      <w:r w:rsidR="00911E11" w:rsidRPr="00A77BD5">
        <w:rPr>
          <w:rFonts w:ascii="Times New Roman" w:hAnsi="Times New Roman"/>
        </w:rPr>
        <w:t xml:space="preserve">symposium </w:t>
      </w:r>
      <w:r w:rsidRPr="00A77BD5">
        <w:rPr>
          <w:rFonts w:ascii="Times New Roman" w:hAnsi="Times New Roman"/>
        </w:rPr>
        <w:t xml:space="preserve">contributions that focus on incoherence and redundancy. Ban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ExcludeAuth="1"&gt;&lt;Author&gt;Ban&lt;/Author&gt;&lt;Year&gt;2018&lt;/Year&gt;&lt;RecNum&gt;1963&lt;/RecNum&gt;&lt;Pages&gt;this symposium&lt;/Pages&gt;&lt;DisplayText&gt;(2018, this symposium)&lt;/DisplayText&gt;&lt;record&gt;&lt;rec-number&gt;1963&lt;/rec-number&gt;&lt;foreign-keys&gt;&lt;key app="EN" db-id="x2xf5e95kefpz8e59fcx5psgerr9wepetvet" timestamp="1532982723"&gt;1963&lt;/key&gt;&lt;/foreign-keys&gt;&lt;ref-type name="Report"&gt;27&lt;/ref-type&gt;&lt;contributors&gt;&lt;authors&gt;&lt;author&gt;Ban, Cornel&lt;/author&gt;&lt;/authors&gt;&lt;/contributors&gt;&lt;titles&gt;&lt;title&gt;&lt;style face="normal" font="default" size="100%"&gt;Austerity Europe Versus Keynesian Europe,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(2018, this symposium)</w:t>
      </w:r>
      <w:r w:rsidR="00891F56">
        <w:rPr>
          <w:rFonts w:ascii="Times New Roman" w:hAnsi="Times New Roman"/>
        </w:rPr>
        <w:fldChar w:fldCharType="end"/>
      </w:r>
      <w:r w:rsidR="00AB2E93" w:rsidRPr="00A77BD5">
        <w:rPr>
          <w:rFonts w:ascii="Times New Roman" w:hAnsi="Times New Roman"/>
        </w:rPr>
        <w:t xml:space="preserve"> </w:t>
      </w:r>
      <w:r w:rsidRPr="00A77BD5">
        <w:rPr>
          <w:rFonts w:ascii="Times New Roman" w:hAnsi="Times New Roman"/>
        </w:rPr>
        <w:t xml:space="preserve">argues that incoherence has been productive in the European Union </w:t>
      </w:r>
      <w:r w:rsidR="005525EC" w:rsidRPr="00A77BD5">
        <w:rPr>
          <w:rFonts w:ascii="Times New Roman" w:hAnsi="Times New Roman"/>
        </w:rPr>
        <w:t xml:space="preserve">(EU) </w:t>
      </w:r>
      <w:r w:rsidRPr="00A77BD5">
        <w:rPr>
          <w:rFonts w:ascii="Times New Roman" w:hAnsi="Times New Roman"/>
        </w:rPr>
        <w:t>because it has enabled incrementa</w:t>
      </w:r>
      <w:r w:rsidR="00087FEC" w:rsidRPr="00A77BD5">
        <w:rPr>
          <w:rFonts w:ascii="Times New Roman" w:hAnsi="Times New Roman"/>
        </w:rPr>
        <w:t>l calibrations of interventions</w:t>
      </w:r>
      <w:r w:rsidR="00270A98" w:rsidRPr="00A77BD5">
        <w:rPr>
          <w:rFonts w:ascii="Times New Roman" w:hAnsi="Times New Roman"/>
        </w:rPr>
        <w:t xml:space="preserve"> and </w:t>
      </w:r>
      <w:r w:rsidRPr="00A77BD5">
        <w:rPr>
          <w:rFonts w:ascii="Times New Roman" w:hAnsi="Times New Roman"/>
        </w:rPr>
        <w:t xml:space="preserve">created space for ideas that </w:t>
      </w:r>
      <w:r w:rsidR="00D66016" w:rsidRPr="00A77BD5">
        <w:rPr>
          <w:rFonts w:ascii="Times New Roman" w:hAnsi="Times New Roman"/>
        </w:rPr>
        <w:t>counterbalance</w:t>
      </w:r>
      <w:r w:rsidRPr="00A77BD5">
        <w:rPr>
          <w:rFonts w:ascii="Times New Roman" w:hAnsi="Times New Roman"/>
        </w:rPr>
        <w:t xml:space="preserve"> </w:t>
      </w:r>
      <w:r w:rsidR="00D66016" w:rsidRPr="00A77BD5">
        <w:rPr>
          <w:rFonts w:ascii="Times New Roman" w:hAnsi="Times New Roman"/>
        </w:rPr>
        <w:t xml:space="preserve">growth </w:t>
      </w:r>
      <w:r w:rsidR="0064241C" w:rsidRPr="00A77BD5">
        <w:rPr>
          <w:rFonts w:ascii="Times New Roman" w:hAnsi="Times New Roman"/>
        </w:rPr>
        <w:t xml:space="preserve">and </w:t>
      </w:r>
      <w:r w:rsidRPr="00A77BD5">
        <w:rPr>
          <w:rFonts w:ascii="Times New Roman" w:hAnsi="Times New Roman"/>
        </w:rPr>
        <w:t>austerity</w:t>
      </w:r>
      <w:r w:rsidR="00087FEC" w:rsidRPr="00A77BD5">
        <w:rPr>
          <w:rFonts w:ascii="Times New Roman" w:hAnsi="Times New Roman"/>
        </w:rPr>
        <w:t xml:space="preserve"> strategies</w:t>
      </w:r>
      <w:r w:rsidRPr="00A77BD5">
        <w:rPr>
          <w:rFonts w:ascii="Times New Roman" w:hAnsi="Times New Roman"/>
        </w:rPr>
        <w:t>. Henning</w:t>
      </w:r>
      <w:r w:rsidR="00C646EF"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ExcludeAuth="1"&gt;&lt;Author&gt;Henning&lt;/Author&gt;&lt;Year&gt;2018&lt;/Year&gt;&lt;RecNum&gt;1965&lt;/RecNum&gt;&lt;Pages&gt;this symposium&lt;/Pages&gt;&lt;DisplayText&gt;(2018, this symposium)&lt;/DisplayText&gt;&lt;record&gt;&lt;rec-number&gt;1965&lt;/rec-number&gt;&lt;foreign-keys&gt;&lt;key app="EN" db-id="x2xf5e95kefpz8e59fcx5psgerr9wepetvet" timestamp="1532982898"&gt;1965&lt;/key&gt;&lt;/foreign-keys&gt;&lt;ref-type name="Report"&gt;27&lt;/ref-type&gt;&lt;contributors&gt;&lt;authors&gt;&lt;author&gt;Henning, C. Randall&lt;/author&gt;&lt;/authors&gt;&lt;/contributors&gt;&lt;titles&gt;&lt;title&gt;&lt;style face="normal" font="default" size="100%"&gt;Regime Complexity and the Institutions of Crisis and Development Finance,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(2018, this symposium)</w:t>
      </w:r>
      <w:r w:rsidR="00891F56">
        <w:rPr>
          <w:rFonts w:ascii="Times New Roman" w:hAnsi="Times New Roman"/>
        </w:rPr>
        <w:fldChar w:fldCharType="end"/>
      </w:r>
      <w:r w:rsidRPr="00A77BD5">
        <w:rPr>
          <w:rFonts w:ascii="Times New Roman" w:hAnsi="Times New Roman"/>
        </w:rPr>
        <w:t xml:space="preserve"> sees the </w:t>
      </w:r>
      <w:r w:rsidR="00F37A83" w:rsidRPr="00A77BD5">
        <w:rPr>
          <w:rFonts w:ascii="Times New Roman" w:hAnsi="Times New Roman"/>
        </w:rPr>
        <w:t>incoherence and</w:t>
      </w:r>
      <w:r w:rsidR="00EB56AB">
        <w:rPr>
          <w:rFonts w:ascii="Times New Roman" w:hAnsi="Times New Roman"/>
        </w:rPr>
        <w:t xml:space="preserve"> ‘institutional regime complexity’</w:t>
      </w:r>
      <w:r w:rsidRPr="00A77BD5">
        <w:rPr>
          <w:rFonts w:ascii="Times New Roman" w:hAnsi="Times New Roman"/>
        </w:rPr>
        <w:t xml:space="preserve"> that derive from experimentation as selective and driven by state strategies for institutional control. I</w:t>
      </w:r>
      <w:r w:rsidR="005D7965" w:rsidRPr="00A77BD5">
        <w:rPr>
          <w:rFonts w:ascii="Times New Roman" w:hAnsi="Times New Roman"/>
        </w:rPr>
        <w:t>n contrast</w:t>
      </w:r>
      <w:r w:rsidR="006E1729" w:rsidRPr="00A77BD5">
        <w:rPr>
          <w:rFonts w:ascii="Times New Roman" w:hAnsi="Times New Roman"/>
        </w:rPr>
        <w:t>,</w:t>
      </w:r>
      <w:r w:rsidR="005D7965" w:rsidRPr="00A77BD5">
        <w:rPr>
          <w:rFonts w:ascii="Times New Roman" w:hAnsi="Times New Roman"/>
        </w:rPr>
        <w:t xml:space="preserve"> I understand</w:t>
      </w:r>
      <w:r w:rsidR="00315A4F" w:rsidRPr="00A77BD5">
        <w:rPr>
          <w:rFonts w:ascii="Times New Roman" w:hAnsi="Times New Roman"/>
        </w:rPr>
        <w:t xml:space="preserve"> incoherence and redundancy </w:t>
      </w:r>
      <w:r w:rsidR="00535724" w:rsidRPr="00A77BD5">
        <w:rPr>
          <w:rFonts w:ascii="Times New Roman" w:hAnsi="Times New Roman"/>
        </w:rPr>
        <w:t xml:space="preserve">as </w:t>
      </w:r>
      <w:r w:rsidR="00315A4F" w:rsidRPr="00A77BD5">
        <w:rPr>
          <w:rFonts w:ascii="Times New Roman" w:hAnsi="Times New Roman"/>
        </w:rPr>
        <w:t>arising</w:t>
      </w:r>
      <w:r w:rsidRPr="00A77BD5">
        <w:rPr>
          <w:rFonts w:ascii="Times New Roman" w:hAnsi="Times New Roman"/>
        </w:rPr>
        <w:t xml:space="preserve"> from ad hoc, pragmatic, </w:t>
      </w:r>
      <w:r w:rsidR="00603AB8" w:rsidRPr="00A77BD5">
        <w:rPr>
          <w:rFonts w:ascii="Times New Roman" w:hAnsi="Times New Roman"/>
        </w:rPr>
        <w:t xml:space="preserve">and/or </w:t>
      </w:r>
      <w:r w:rsidRPr="00A77BD5">
        <w:rPr>
          <w:rFonts w:ascii="Times New Roman" w:hAnsi="Times New Roman"/>
        </w:rPr>
        <w:t>opportunistic</w:t>
      </w:r>
      <w:r w:rsidR="00603AB8" w:rsidRPr="00A77BD5">
        <w:rPr>
          <w:rFonts w:ascii="Times New Roman" w:hAnsi="Times New Roman"/>
        </w:rPr>
        <w:t xml:space="preserve"> </w:t>
      </w:r>
      <w:r w:rsidR="00D02CB4" w:rsidRPr="00A77BD5">
        <w:rPr>
          <w:rFonts w:ascii="Times New Roman" w:hAnsi="Times New Roman"/>
        </w:rPr>
        <w:t xml:space="preserve">experimentation </w:t>
      </w:r>
      <w:r w:rsidRPr="00A77BD5">
        <w:rPr>
          <w:rFonts w:ascii="Times New Roman" w:hAnsi="Times New Roman"/>
        </w:rPr>
        <w:t xml:space="preserve">under uncertainty. </w:t>
      </w:r>
      <w:r w:rsidR="008B5F71" w:rsidRPr="00A77BD5">
        <w:rPr>
          <w:rFonts w:ascii="Times New Roman" w:hAnsi="Times New Roman"/>
        </w:rPr>
        <w:t xml:space="preserve">Henning </w:t>
      </w:r>
      <w:r w:rsidRPr="00A77BD5">
        <w:rPr>
          <w:rFonts w:ascii="Times New Roman" w:hAnsi="Times New Roman"/>
        </w:rPr>
        <w:t>anticipate</w:t>
      </w:r>
      <w:r w:rsidR="008B5F71" w:rsidRPr="00A77BD5">
        <w:rPr>
          <w:rFonts w:ascii="Times New Roman" w:hAnsi="Times New Roman"/>
        </w:rPr>
        <w:t>s greater coherence (than I do), though he envisions some institutional messiness on the horizon</w:t>
      </w:r>
      <w:r w:rsidRPr="00A77BD5">
        <w:rPr>
          <w:rFonts w:ascii="Times New Roman" w:hAnsi="Times New Roman"/>
        </w:rPr>
        <w:t xml:space="preserve">. He </w:t>
      </w:r>
      <w:r w:rsidR="0073606B" w:rsidRPr="00A77BD5">
        <w:rPr>
          <w:rFonts w:ascii="Times New Roman" w:hAnsi="Times New Roman"/>
        </w:rPr>
        <w:t xml:space="preserve">is </w:t>
      </w:r>
      <w:r w:rsidRPr="00A77BD5">
        <w:rPr>
          <w:rFonts w:ascii="Times New Roman" w:hAnsi="Times New Roman"/>
        </w:rPr>
        <w:t>agnostic on the normative consequences of i</w:t>
      </w:r>
      <w:r w:rsidR="00867738" w:rsidRPr="00A77BD5">
        <w:rPr>
          <w:rFonts w:ascii="Times New Roman" w:hAnsi="Times New Roman"/>
        </w:rPr>
        <w:t>nstitutional density and redundancy</w:t>
      </w:r>
      <w:r w:rsidRPr="00A77BD5">
        <w:rPr>
          <w:rFonts w:ascii="Times New Roman" w:hAnsi="Times New Roman"/>
        </w:rPr>
        <w:t xml:space="preserve">, arguing that whether it is productive is context and operationally dependent. </w:t>
      </w:r>
      <w:r w:rsidR="0073606B" w:rsidRPr="00A77BD5">
        <w:rPr>
          <w:rFonts w:ascii="Times New Roman" w:hAnsi="Times New Roman"/>
        </w:rPr>
        <w:t>He advocates</w:t>
      </w:r>
      <w:r w:rsidR="00F624F8" w:rsidRPr="00A77BD5">
        <w:rPr>
          <w:rFonts w:ascii="Times New Roman" w:hAnsi="Times New Roman"/>
        </w:rPr>
        <w:t xml:space="preserve"> </w:t>
      </w:r>
      <w:r w:rsidRPr="00A77BD5">
        <w:rPr>
          <w:rFonts w:ascii="Times New Roman" w:hAnsi="Times New Roman"/>
        </w:rPr>
        <w:t xml:space="preserve">formal protocols and informal practices to foster cooperation and reduce fragmentation. </w:t>
      </w:r>
      <w:proofErr w:type="spellStart"/>
      <w:r w:rsidRPr="00A77BD5">
        <w:rPr>
          <w:rFonts w:ascii="Times New Roman" w:hAnsi="Times New Roman"/>
        </w:rPr>
        <w:t>Kring</w:t>
      </w:r>
      <w:proofErr w:type="spellEnd"/>
      <w:r w:rsidRPr="00A77BD5">
        <w:rPr>
          <w:rFonts w:ascii="Times New Roman" w:hAnsi="Times New Roman"/>
        </w:rPr>
        <w:t xml:space="preserve"> and Grimes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ExcludeAuth="1"&gt;&lt;Author&gt;Kring&lt;/Author&gt;&lt;Year&gt;2018&lt;/Year&gt;&lt;RecNum&gt;1962&lt;/RecNum&gt;&lt;Pages&gt;this symposium&lt;/Pages&gt;&lt;DisplayText&gt;(2018, this symposium)&lt;/DisplayText&gt;&lt;record&gt;&lt;rec-number&gt;1962&lt;/rec-number&gt;&lt;foreign-keys&gt;&lt;key app="EN" db-id="x2xf5e95kefpz8e59fcx5psgerr9wepetvet" timestamp="1532982662"&gt;1962&lt;/key&gt;&lt;/foreign-keys&gt;&lt;ref-type name="Report"&gt;27&lt;/ref-type&gt;&lt;contributors&gt;&lt;authors&gt;&lt;author&gt;Kring, Wiilam&lt;/author&gt;&lt;author&gt;Grimes, William&lt;/author&gt;&lt;/authors&gt;&lt;/contributors&gt;&lt;titles&gt;&lt;title&gt;&lt;style face="normal" font="default" size="100%"&gt;Leaving the Nest: The Rise of Regional Financial Arrangements and the Future of Global Governance,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(2018, this symposium)</w:t>
      </w:r>
      <w:r w:rsidR="00891F56">
        <w:rPr>
          <w:rFonts w:ascii="Times New Roman" w:hAnsi="Times New Roman"/>
        </w:rPr>
        <w:fldChar w:fldCharType="end"/>
      </w:r>
      <w:r w:rsidR="004C3761" w:rsidRPr="00A77BD5">
        <w:rPr>
          <w:rFonts w:ascii="Times New Roman" w:hAnsi="Times New Roman"/>
        </w:rPr>
        <w:t xml:space="preserve"> </w:t>
      </w:r>
      <w:r w:rsidRPr="00A77BD5">
        <w:rPr>
          <w:rFonts w:ascii="Times New Roman" w:hAnsi="Times New Roman"/>
        </w:rPr>
        <w:t>treat institutional innovation as a solutio</w:t>
      </w:r>
      <w:r w:rsidR="00AD1F20" w:rsidRPr="00A77BD5">
        <w:rPr>
          <w:rFonts w:ascii="Times New Roman" w:hAnsi="Times New Roman"/>
        </w:rPr>
        <w:t>n to collective action problems</w:t>
      </w:r>
      <w:r w:rsidRPr="00A77BD5">
        <w:rPr>
          <w:rFonts w:ascii="Times New Roman" w:hAnsi="Times New Roman"/>
        </w:rPr>
        <w:t xml:space="preserve">. The neatness of this account </w:t>
      </w:r>
      <w:r w:rsidR="00534E73" w:rsidRPr="00A77BD5">
        <w:rPr>
          <w:rFonts w:ascii="Times New Roman" w:hAnsi="Times New Roman"/>
        </w:rPr>
        <w:t xml:space="preserve">assumes </w:t>
      </w:r>
      <w:r w:rsidRPr="00A77BD5">
        <w:rPr>
          <w:rFonts w:ascii="Times New Roman" w:hAnsi="Times New Roman"/>
        </w:rPr>
        <w:t xml:space="preserve">far less messiness than either Henning </w:t>
      </w:r>
      <w:r w:rsidR="005D24AD" w:rsidRPr="00A77BD5">
        <w:rPr>
          <w:rFonts w:ascii="Times New Roman" w:hAnsi="Times New Roman"/>
        </w:rPr>
        <w:t xml:space="preserve">or </w:t>
      </w:r>
      <w:r w:rsidRPr="00A77BD5">
        <w:rPr>
          <w:rFonts w:ascii="Times New Roman" w:hAnsi="Times New Roman"/>
        </w:rPr>
        <w:t xml:space="preserve">especially I would anticipate, and implies that incoherence is anything but productive. </w:t>
      </w:r>
      <w:proofErr w:type="spellStart"/>
      <w:r w:rsidRPr="00A77BD5">
        <w:rPr>
          <w:rFonts w:ascii="Times New Roman" w:hAnsi="Times New Roman"/>
        </w:rPr>
        <w:t>Kring</w:t>
      </w:r>
      <w:proofErr w:type="spellEnd"/>
      <w:r w:rsidRPr="00A77BD5">
        <w:rPr>
          <w:rFonts w:ascii="Times New Roman" w:hAnsi="Times New Roman"/>
        </w:rPr>
        <w:t xml:space="preserve"> and Grimes</w:t>
      </w:r>
      <w:r w:rsidR="009844F5" w:rsidRPr="00A77BD5">
        <w:rPr>
          <w:rFonts w:ascii="Times New Roman" w:hAnsi="Times New Roman"/>
        </w:rPr>
        <w:t xml:space="preserve">’ rationalism allows for the persistence of </w:t>
      </w:r>
      <w:r w:rsidRPr="00A77BD5">
        <w:rPr>
          <w:rFonts w:ascii="Times New Roman" w:hAnsi="Times New Roman"/>
        </w:rPr>
        <w:t>dysfunctional or redundant institutional forms if states are pushed into premature decisions because of idiosyncratic polit</w:t>
      </w:r>
      <w:r w:rsidR="00B034CC" w:rsidRPr="00A77BD5">
        <w:rPr>
          <w:rFonts w:ascii="Times New Roman" w:hAnsi="Times New Roman"/>
        </w:rPr>
        <w:t xml:space="preserve">ical or economic developments. </w:t>
      </w:r>
      <w:r w:rsidRPr="00A77BD5">
        <w:rPr>
          <w:rFonts w:ascii="Times New Roman" w:hAnsi="Times New Roman"/>
        </w:rPr>
        <w:t xml:space="preserve">Fritz and </w:t>
      </w:r>
      <w:proofErr w:type="spellStart"/>
      <w:r w:rsidRPr="00A77BD5">
        <w:rPr>
          <w:rFonts w:ascii="Times New Roman" w:hAnsi="Times New Roman"/>
        </w:rPr>
        <w:t>Mühlich</w:t>
      </w:r>
      <w:proofErr w:type="spellEnd"/>
      <w:r w:rsidR="003E5D9C"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ExcludeAuth="1"&gt;&lt;Author&gt;Fritz&lt;/Author&gt;&lt;Year&gt;2018&lt;/Year&gt;&lt;RecNum&gt;1967&lt;/RecNum&gt;&lt;DisplayText&gt;(2018)&lt;/DisplayText&gt;&lt;record&gt;&lt;rec-number&gt;1967&lt;/rec-number&gt;&lt;foreign-keys&gt;&lt;key app="EN" db-id="x2xf5e95kefpz8e59fcx5psgerr9wepetvet" timestamp="1532983090"&gt;1967&lt;/key&gt;&lt;/foreign-keys&gt;&lt;ref-type name="Report"&gt;27&lt;/ref-type&gt;&lt;contributors&gt;&lt;authors&gt;&lt;author&gt;Fritz, Barbara&lt;/author&gt;&lt;author&gt;Mühlich, Laurissa&lt;/author&gt;&lt;/authors&gt;&lt;/contributors&gt;&lt;titles&gt;&lt;title&gt;&lt;style face="normal" font="default" size="100%"&gt;Regional Financial Arrangements in the Global Safety Net: The Arab and the Eurasian Fund,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(2018)</w:t>
      </w:r>
      <w:r w:rsidR="00891F56">
        <w:rPr>
          <w:rFonts w:ascii="Times New Roman" w:hAnsi="Times New Roman"/>
        </w:rPr>
        <w:fldChar w:fldCharType="end"/>
      </w:r>
      <w:r w:rsidRPr="00A77BD5">
        <w:rPr>
          <w:rFonts w:ascii="Times New Roman" w:hAnsi="Times New Roman"/>
        </w:rPr>
        <w:t xml:space="preserve"> </w:t>
      </w:r>
      <w:r w:rsidR="00B034CC" w:rsidRPr="00A77BD5">
        <w:rPr>
          <w:rFonts w:ascii="Times New Roman" w:hAnsi="Times New Roman"/>
        </w:rPr>
        <w:t>conclude that</w:t>
      </w:r>
      <w:r w:rsidRPr="00A77BD5">
        <w:rPr>
          <w:rFonts w:ascii="Times New Roman" w:hAnsi="Times New Roman"/>
        </w:rPr>
        <w:t xml:space="preserve"> incoherence</w:t>
      </w:r>
      <w:r w:rsidR="00F93200" w:rsidRPr="00A77BD5">
        <w:rPr>
          <w:rFonts w:ascii="Times New Roman" w:hAnsi="Times New Roman"/>
        </w:rPr>
        <w:t xml:space="preserve"> across the full range of </w:t>
      </w:r>
      <w:r w:rsidR="0021275C" w:rsidRPr="00A77BD5">
        <w:rPr>
          <w:rFonts w:ascii="Times New Roman" w:hAnsi="Times New Roman"/>
        </w:rPr>
        <w:t xml:space="preserve">global </w:t>
      </w:r>
      <w:r w:rsidR="00F93200" w:rsidRPr="00A77BD5">
        <w:rPr>
          <w:rFonts w:ascii="Times New Roman" w:hAnsi="Times New Roman"/>
        </w:rPr>
        <w:t>liquidity support arrangement</w:t>
      </w:r>
      <w:r w:rsidR="00312400" w:rsidRPr="00A77BD5">
        <w:rPr>
          <w:rFonts w:ascii="Times New Roman" w:hAnsi="Times New Roman"/>
        </w:rPr>
        <w:t>s</w:t>
      </w:r>
      <w:r w:rsidRPr="00A77BD5">
        <w:rPr>
          <w:rFonts w:ascii="Times New Roman" w:hAnsi="Times New Roman"/>
        </w:rPr>
        <w:t xml:space="preserve"> reinforces inequalities of access and opportunity since some countries have access to autonomy-</w:t>
      </w:r>
      <w:r w:rsidR="005D24AD" w:rsidRPr="00A77BD5">
        <w:rPr>
          <w:rFonts w:ascii="Times New Roman" w:hAnsi="Times New Roman"/>
        </w:rPr>
        <w:t xml:space="preserve">enabling </w:t>
      </w:r>
      <w:r w:rsidRPr="00A77BD5">
        <w:rPr>
          <w:rFonts w:ascii="Times New Roman" w:hAnsi="Times New Roman"/>
        </w:rPr>
        <w:t>fo</w:t>
      </w:r>
      <w:r w:rsidR="001C4B5D" w:rsidRPr="00A77BD5">
        <w:rPr>
          <w:rFonts w:ascii="Times New Roman" w:hAnsi="Times New Roman"/>
        </w:rPr>
        <w:t>rms of</w:t>
      </w:r>
      <w:r w:rsidRPr="00A77BD5">
        <w:rPr>
          <w:rFonts w:ascii="Times New Roman" w:hAnsi="Times New Roman"/>
        </w:rPr>
        <w:t xml:space="preserve"> support, while others </w:t>
      </w:r>
      <w:r w:rsidR="001C4B5D" w:rsidRPr="00A77BD5">
        <w:rPr>
          <w:rFonts w:ascii="Times New Roman" w:hAnsi="Times New Roman"/>
        </w:rPr>
        <w:t xml:space="preserve">have </w:t>
      </w:r>
      <w:r w:rsidRPr="00A77BD5">
        <w:rPr>
          <w:rFonts w:ascii="Times New Roman" w:hAnsi="Times New Roman"/>
        </w:rPr>
        <w:t xml:space="preserve">only the IMF. Wang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ExcludeAuth="1"&gt;&lt;Author&gt;Wang&lt;/Author&gt;&lt;Year&gt;2018&lt;/Year&gt;&lt;RecNum&gt;1966&lt;/RecNum&gt;&lt;Pages&gt;this symposium&lt;/Pages&gt;&lt;DisplayText&gt;(2018, this symposium)&lt;/DisplayText&gt;&lt;record&gt;&lt;rec-number&gt;1966&lt;/rec-number&gt;&lt;foreign-keys&gt;&lt;key app="EN" db-id="x2xf5e95kefpz8e59fcx5psgerr9wepetvet" timestamp="1532983000"&gt;1966&lt;/key&gt;&lt;/foreign-keys&gt;&lt;ref-type name="Report"&gt;27&lt;/ref-type&gt;&lt;contributors&gt;&lt;authors&gt;&lt;author&gt;Wang, Hongying&lt;/author&gt;&lt;/authors&gt;&lt;/contributors&gt;&lt;titles&gt;&lt;title&gt;&lt;style face="normal" font="default" size="100%"&gt;The NDB and the AIIB: China&amp;apos;s Ambiguous Approach to Global Financial Governance,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(2018, this symposium)</w:t>
      </w:r>
      <w:r w:rsidR="00891F56">
        <w:rPr>
          <w:rFonts w:ascii="Times New Roman" w:hAnsi="Times New Roman"/>
        </w:rPr>
        <w:fldChar w:fldCharType="end"/>
      </w:r>
      <w:r w:rsidRPr="00A77BD5">
        <w:rPr>
          <w:rFonts w:ascii="Times New Roman" w:hAnsi="Times New Roman"/>
        </w:rPr>
        <w:t xml:space="preserve"> and Chin and Gallagher</w:t>
      </w:r>
      <w:r w:rsidR="00F32CE2"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ExcludeAuth="1"&gt;&lt;Author&gt;Chin&lt;/Author&gt;&lt;Year&gt;2018&lt;/Year&gt;&lt;RecNum&gt;1964&lt;/RecNum&gt;&lt;Pages&gt;this symposium&lt;/Pages&gt;&lt;DisplayText&gt;(2018, this symposium)&lt;/DisplayText&gt;&lt;record&gt;&lt;rec-number&gt;1964&lt;/rec-number&gt;&lt;foreign-keys&gt;&lt;key app="EN" db-id="x2xf5e95kefpz8e59fcx5psgerr9wepetvet" timestamp="1532982830"&gt;1964&lt;/key&gt;&lt;/foreign-keys&gt;&lt;ref-type name="Report"&gt;27&lt;/ref-type&gt;&lt;contributors&gt;&lt;authors&gt;&lt;author&gt;Chin, Gregory&lt;/author&gt;&lt;author&gt;Gallagher, Kevin&lt;/author&gt;&lt;/authors&gt;&lt;/contributors&gt;&lt;titles&gt;&lt;title&gt;&lt;style face="normal" font="default" size="100%"&gt;Coordinated Credit Spaces: The Globalization of Chinese Development Finance,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(2018, this symposium)</w:t>
      </w:r>
      <w:r w:rsidR="00891F56">
        <w:rPr>
          <w:rFonts w:ascii="Times New Roman" w:hAnsi="Times New Roman"/>
        </w:rPr>
        <w:fldChar w:fldCharType="end"/>
      </w:r>
      <w:r w:rsidRPr="00A77BD5">
        <w:rPr>
          <w:rFonts w:ascii="Times New Roman" w:hAnsi="Times New Roman"/>
        </w:rPr>
        <w:t xml:space="preserve"> identify messiness, heterogeneity, and i</w:t>
      </w:r>
      <w:r w:rsidR="00116C16" w:rsidRPr="00A77BD5">
        <w:rPr>
          <w:rFonts w:ascii="Times New Roman" w:hAnsi="Times New Roman"/>
        </w:rPr>
        <w:t xml:space="preserve">ncoherence </w:t>
      </w:r>
      <w:r w:rsidR="00713F3B" w:rsidRPr="00A77BD5">
        <w:rPr>
          <w:rFonts w:ascii="Times New Roman" w:hAnsi="Times New Roman"/>
        </w:rPr>
        <w:t xml:space="preserve">across </w:t>
      </w:r>
      <w:r w:rsidR="00116C16" w:rsidRPr="00A77BD5">
        <w:rPr>
          <w:rFonts w:ascii="Times New Roman" w:hAnsi="Times New Roman"/>
        </w:rPr>
        <w:t>the global and</w:t>
      </w:r>
      <w:r w:rsidRPr="00A77BD5">
        <w:rPr>
          <w:rFonts w:ascii="Times New Roman" w:hAnsi="Times New Roman"/>
        </w:rPr>
        <w:t xml:space="preserve"> </w:t>
      </w:r>
      <w:r w:rsidR="00713F3B" w:rsidRPr="00A77BD5">
        <w:rPr>
          <w:rFonts w:ascii="Times New Roman" w:hAnsi="Times New Roman"/>
        </w:rPr>
        <w:t xml:space="preserve">within </w:t>
      </w:r>
      <w:r w:rsidR="00252E1E" w:rsidRPr="00A77BD5">
        <w:rPr>
          <w:rFonts w:ascii="Times New Roman" w:hAnsi="Times New Roman"/>
        </w:rPr>
        <w:t xml:space="preserve">the </w:t>
      </w:r>
      <w:r w:rsidRPr="00A77BD5">
        <w:rPr>
          <w:rFonts w:ascii="Times New Roman" w:hAnsi="Times New Roman"/>
        </w:rPr>
        <w:t>China-led landscape</w:t>
      </w:r>
      <w:r w:rsidR="00713F3B" w:rsidRPr="00A77BD5">
        <w:rPr>
          <w:rFonts w:ascii="Times New Roman" w:hAnsi="Times New Roman"/>
        </w:rPr>
        <w:t>.</w:t>
      </w:r>
    </w:p>
    <w:p w14:paraId="01A33232" w14:textId="029E55A1" w:rsidR="001E1F6C" w:rsidRPr="00A77BD5" w:rsidRDefault="001E1F6C" w:rsidP="004F7552">
      <w:pPr>
        <w:spacing w:line="360" w:lineRule="auto"/>
        <w:ind w:firstLine="720"/>
        <w:rPr>
          <w:rFonts w:ascii="Times New Roman" w:hAnsi="Times New Roman"/>
        </w:rPr>
      </w:pPr>
      <w:r w:rsidRPr="00A77BD5">
        <w:rPr>
          <w:rFonts w:ascii="Times New Roman" w:hAnsi="Times New Roman"/>
        </w:rPr>
        <w:t xml:space="preserve">I advance three claims in the article. The first claim is positive. </w:t>
      </w:r>
      <w:proofErr w:type="gramStart"/>
      <w:r w:rsidRPr="00A77BD5">
        <w:rPr>
          <w:rFonts w:ascii="Times New Roman" w:hAnsi="Times New Roman"/>
        </w:rPr>
        <w:t xml:space="preserve">The Asian and especially </w:t>
      </w:r>
      <w:r w:rsidR="00732BC8" w:rsidRPr="00A77BD5">
        <w:rPr>
          <w:rFonts w:ascii="Times New Roman" w:hAnsi="Times New Roman"/>
        </w:rPr>
        <w:t xml:space="preserve">the </w:t>
      </w:r>
      <w:r w:rsidR="0039495A" w:rsidRPr="00A77BD5">
        <w:rPr>
          <w:rFonts w:ascii="Times New Roman" w:hAnsi="Times New Roman"/>
        </w:rPr>
        <w:t>GFC</w:t>
      </w:r>
      <w:r w:rsidRPr="00A77BD5">
        <w:rPr>
          <w:rFonts w:ascii="Times New Roman" w:hAnsi="Times New Roman"/>
        </w:rPr>
        <w:t xml:space="preserve"> occasioned meaningful though ad hoc, partial, and uneven discontinuities in </w:t>
      </w:r>
      <w:r w:rsidRPr="00A77BD5">
        <w:rPr>
          <w:rFonts w:ascii="Times New Roman" w:hAnsi="Times New Roman" w:cs="Eurostile"/>
        </w:rPr>
        <w:t>developmental finance.</w:t>
      </w:r>
      <w:proofErr w:type="gramEnd"/>
      <w:r w:rsidRPr="00A77BD5">
        <w:rPr>
          <w:rFonts w:ascii="Times New Roman" w:hAnsi="Times New Roman" w:cs="Eurostile"/>
        </w:rPr>
        <w:t xml:space="preserve"> The conjunction of discontinuities and continuities in this domain is imparting incoherence to the developmental finance architecture and the </w:t>
      </w:r>
      <w:r w:rsidR="00B823D0" w:rsidRPr="00A77BD5">
        <w:rPr>
          <w:rFonts w:ascii="Times New Roman" w:hAnsi="Times New Roman" w:cs="Eurostile"/>
        </w:rPr>
        <w:t>broader GFA</w:t>
      </w:r>
      <w:r w:rsidRPr="00A77BD5">
        <w:rPr>
          <w:rFonts w:ascii="Times New Roman" w:hAnsi="Times New Roman" w:cs="Eurostile"/>
        </w:rPr>
        <w:t xml:space="preserve">. The second claim is normative. I hold, contrary to the common narrative, that emergent incoherence is </w:t>
      </w:r>
      <w:r w:rsidR="00B823D0" w:rsidRPr="00A77BD5">
        <w:rPr>
          <w:rFonts w:ascii="Times New Roman" w:hAnsi="Times New Roman" w:cs="Eurostile"/>
        </w:rPr>
        <w:t>(</w:t>
      </w:r>
      <w:r w:rsidRPr="00A77BD5">
        <w:rPr>
          <w:rFonts w:ascii="Times New Roman" w:hAnsi="Times New Roman" w:cs="Eurostile"/>
        </w:rPr>
        <w:t>on balance</w:t>
      </w:r>
      <w:r w:rsidR="00B823D0" w:rsidRPr="00A77BD5">
        <w:rPr>
          <w:rFonts w:ascii="Times New Roman" w:hAnsi="Times New Roman" w:cs="Eurostile"/>
        </w:rPr>
        <w:t>)</w:t>
      </w:r>
      <w:r w:rsidRPr="00A77BD5">
        <w:rPr>
          <w:rFonts w:ascii="Times New Roman" w:hAnsi="Times New Roman" w:cs="Eurostile"/>
        </w:rPr>
        <w:t xml:space="preserve"> productive of development and financial stability rather than debilitating. </w:t>
      </w:r>
      <w:r w:rsidR="004660C7" w:rsidRPr="00A77BD5">
        <w:rPr>
          <w:rFonts w:ascii="Times New Roman" w:hAnsi="Times New Roman"/>
        </w:rPr>
        <w:t>A</w:t>
      </w:r>
      <w:r w:rsidRPr="00A77BD5">
        <w:rPr>
          <w:rFonts w:ascii="Times New Roman" w:hAnsi="Times New Roman"/>
        </w:rPr>
        <w:t xml:space="preserve">ctors in some parts of the global South and East enjoy </w:t>
      </w:r>
      <w:r w:rsidR="004660C7" w:rsidRPr="00A77BD5">
        <w:rPr>
          <w:rFonts w:ascii="Times New Roman" w:hAnsi="Times New Roman"/>
        </w:rPr>
        <w:t xml:space="preserve">greater </w:t>
      </w:r>
      <w:r w:rsidRPr="00A77BD5">
        <w:rPr>
          <w:rFonts w:ascii="Times New Roman" w:hAnsi="Times New Roman"/>
        </w:rPr>
        <w:t>opportunities for institutional experimentation</w:t>
      </w:r>
      <w:r w:rsidR="004660C7" w:rsidRPr="00A77BD5">
        <w:rPr>
          <w:rFonts w:ascii="Times New Roman" w:hAnsi="Times New Roman"/>
        </w:rPr>
        <w:t xml:space="preserve"> today, especially in comparison with</w:t>
      </w:r>
      <w:r w:rsidR="00AA618B" w:rsidRPr="00A77BD5">
        <w:rPr>
          <w:rFonts w:ascii="Times New Roman" w:hAnsi="Times New Roman"/>
        </w:rPr>
        <w:t xml:space="preserve"> </w:t>
      </w:r>
      <w:r w:rsidR="00E41489" w:rsidRPr="00A77BD5">
        <w:rPr>
          <w:rFonts w:ascii="Times New Roman" w:hAnsi="Times New Roman"/>
        </w:rPr>
        <w:t xml:space="preserve">the limited space available under </w:t>
      </w:r>
      <w:r w:rsidR="00AA618B" w:rsidRPr="00A77BD5">
        <w:rPr>
          <w:rFonts w:ascii="Times New Roman" w:hAnsi="Times New Roman"/>
        </w:rPr>
        <w:t>the</w:t>
      </w:r>
      <w:r w:rsidR="004660C7" w:rsidRPr="00A77BD5">
        <w:rPr>
          <w:rFonts w:ascii="Times New Roman" w:hAnsi="Times New Roman"/>
        </w:rPr>
        <w:t xml:space="preserve"> stultifying coherence of the neoliberal era </w:t>
      </w:r>
      <w:r w:rsidR="005E663D" w:rsidRPr="00A77BD5">
        <w:rPr>
          <w:rFonts w:ascii="Times New Roman" w:hAnsi="Times New Roman"/>
        </w:rPr>
        <w:t xml:space="preserve">when the BWIs were the only game in town </w:t>
      </w:r>
      <w:r w:rsidR="004660C7" w:rsidRPr="00A77BD5">
        <w:rPr>
          <w:rFonts w:ascii="Times New Roman" w:hAnsi="Times New Roman"/>
        </w:rPr>
        <w:t xml:space="preserve">and neoliberal ideas </w:t>
      </w:r>
      <w:r w:rsidR="008C2E46" w:rsidRPr="00A77BD5">
        <w:rPr>
          <w:rFonts w:ascii="Times New Roman" w:hAnsi="Times New Roman"/>
        </w:rPr>
        <w:t xml:space="preserve">crowded out alternatives. </w:t>
      </w:r>
      <w:r w:rsidR="00AA618B" w:rsidRPr="00A77BD5">
        <w:rPr>
          <w:rFonts w:ascii="Times New Roman" w:hAnsi="Times New Roman"/>
        </w:rPr>
        <w:t xml:space="preserve"> </w:t>
      </w:r>
      <w:r w:rsidR="00E82C21" w:rsidRPr="00A77BD5">
        <w:rPr>
          <w:rFonts w:ascii="Times New Roman" w:hAnsi="Times New Roman"/>
        </w:rPr>
        <w:t>A</w:t>
      </w:r>
      <w:r w:rsidRPr="00A77BD5">
        <w:rPr>
          <w:rFonts w:ascii="Times New Roman" w:hAnsi="Times New Roman"/>
        </w:rPr>
        <w:t>ll of the experiments underwa</w:t>
      </w:r>
      <w:r w:rsidR="006630BC" w:rsidRPr="00A77BD5">
        <w:rPr>
          <w:rFonts w:ascii="Times New Roman" w:hAnsi="Times New Roman"/>
        </w:rPr>
        <w:t xml:space="preserve">y are </w:t>
      </w:r>
      <w:r w:rsidR="00E82C21" w:rsidRPr="00A77BD5">
        <w:rPr>
          <w:rFonts w:ascii="Times New Roman" w:hAnsi="Times New Roman"/>
        </w:rPr>
        <w:t xml:space="preserve">not </w:t>
      </w:r>
      <w:r w:rsidR="006630BC" w:rsidRPr="00A77BD5">
        <w:rPr>
          <w:rFonts w:ascii="Times New Roman" w:hAnsi="Times New Roman"/>
        </w:rPr>
        <w:t>equally likely to survive</w:t>
      </w:r>
      <w:r w:rsidRPr="00A77BD5">
        <w:rPr>
          <w:rFonts w:ascii="Times New Roman" w:hAnsi="Times New Roman"/>
        </w:rPr>
        <w:t xml:space="preserve">. But even failures can provide valuable lessons and </w:t>
      </w:r>
      <w:r w:rsidR="00F52A7D" w:rsidRPr="00A77BD5">
        <w:rPr>
          <w:rFonts w:ascii="Times New Roman" w:hAnsi="Times New Roman"/>
        </w:rPr>
        <w:t xml:space="preserve">enduring </w:t>
      </w:r>
      <w:r w:rsidR="001024E4" w:rsidRPr="00A77BD5">
        <w:rPr>
          <w:rFonts w:ascii="Times New Roman" w:hAnsi="Times New Roman"/>
        </w:rPr>
        <w:t xml:space="preserve">networks </w:t>
      </w:r>
      <w:r w:rsidRPr="00A77BD5">
        <w:rPr>
          <w:rFonts w:ascii="Times New Roman" w:hAnsi="Times New Roman"/>
        </w:rPr>
        <w:t xml:space="preserve">that can </w:t>
      </w:r>
      <w:r w:rsidR="00F52A7D" w:rsidRPr="00A77BD5">
        <w:rPr>
          <w:rFonts w:ascii="Times New Roman" w:hAnsi="Times New Roman"/>
        </w:rPr>
        <w:t>contribute to future successes</w:t>
      </w:r>
      <w:r w:rsidRPr="00A77BD5">
        <w:rPr>
          <w:rFonts w:ascii="Times New Roman" w:hAnsi="Times New Roman"/>
        </w:rPr>
        <w:t>. Emergent redundancy and new networks of institutional cooperation have the potential to increase financial resilience.</w:t>
      </w:r>
      <w:r w:rsidRPr="00A77BD5">
        <w:rPr>
          <w:rStyle w:val="FootnoteReference"/>
          <w:rFonts w:ascii="Times New Roman" w:hAnsi="Times New Roman"/>
        </w:rPr>
        <w:footnoteReference w:id="3"/>
      </w:r>
      <w:r w:rsidRPr="00A77BD5">
        <w:rPr>
          <w:rFonts w:ascii="Times New Roman" w:hAnsi="Times New Roman" w:cs="Eurostile"/>
        </w:rPr>
        <w:t xml:space="preserve"> The third claim is that productive incoherence can be understood most fully within a ‘</w:t>
      </w:r>
      <w:proofErr w:type="spellStart"/>
      <w:r w:rsidRPr="00A77BD5">
        <w:rPr>
          <w:rFonts w:ascii="Times New Roman" w:hAnsi="Times New Roman" w:cs="Eurostile"/>
        </w:rPr>
        <w:t>Hirschmanian</w:t>
      </w:r>
      <w:proofErr w:type="spellEnd"/>
      <w:r w:rsidRPr="00A77BD5">
        <w:rPr>
          <w:rFonts w:ascii="Times New Roman" w:hAnsi="Times New Roman" w:cs="Eurostile"/>
        </w:rPr>
        <w:t xml:space="preserve"> mindset,’ that is, an understanding of change and development informed by Albert Hirschman’s key theoretical and epistemic commitments.</w:t>
      </w:r>
      <w:r w:rsidRPr="00A77BD5">
        <w:rPr>
          <w:rFonts w:ascii="Times New Roman" w:hAnsi="Times New Roman"/>
        </w:rPr>
        <w:t xml:space="preserve"> </w:t>
      </w:r>
    </w:p>
    <w:p w14:paraId="6583A19F" w14:textId="15E1F101" w:rsidR="001E1F6C" w:rsidRPr="00A77BD5" w:rsidRDefault="00FE4120" w:rsidP="004F7552">
      <w:pPr>
        <w:spacing w:line="360" w:lineRule="auto"/>
        <w:ind w:firstLine="720"/>
        <w:rPr>
          <w:rFonts w:ascii="Times New Roman" w:hAnsi="Times New Roman"/>
        </w:rPr>
      </w:pPr>
      <w:r w:rsidRPr="00A77BD5">
        <w:rPr>
          <w:rFonts w:ascii="Times New Roman" w:hAnsi="Times New Roman"/>
        </w:rPr>
        <w:t>We begin with a review of</w:t>
      </w:r>
      <w:r w:rsidR="001E1F6C" w:rsidRPr="00A77BD5">
        <w:rPr>
          <w:rFonts w:ascii="Times New Roman" w:hAnsi="Times New Roman"/>
        </w:rPr>
        <w:t xml:space="preserve"> key components of a </w:t>
      </w:r>
      <w:proofErr w:type="spellStart"/>
      <w:r w:rsidR="001E1F6C" w:rsidRPr="00A77BD5">
        <w:rPr>
          <w:rFonts w:ascii="Times New Roman" w:hAnsi="Times New Roman"/>
        </w:rPr>
        <w:t>Hirschmanian</w:t>
      </w:r>
      <w:proofErr w:type="spellEnd"/>
      <w:r w:rsidR="001E1F6C" w:rsidRPr="00A77BD5">
        <w:rPr>
          <w:rFonts w:ascii="Times New Roman" w:hAnsi="Times New Roman"/>
        </w:rPr>
        <w:t xml:space="preserve"> mindset. </w:t>
      </w:r>
      <w:r w:rsidR="000B66BD" w:rsidRPr="00A77BD5">
        <w:rPr>
          <w:rFonts w:ascii="Times New Roman" w:hAnsi="Times New Roman"/>
        </w:rPr>
        <w:t>T</w:t>
      </w:r>
      <w:r w:rsidR="001E1F6C" w:rsidRPr="00A77BD5">
        <w:rPr>
          <w:rFonts w:ascii="Times New Roman" w:hAnsi="Times New Roman"/>
        </w:rPr>
        <w:t>his provide</w:t>
      </w:r>
      <w:r w:rsidR="000B66BD" w:rsidRPr="00A77BD5">
        <w:rPr>
          <w:rFonts w:ascii="Times New Roman" w:hAnsi="Times New Roman"/>
        </w:rPr>
        <w:t>s</w:t>
      </w:r>
      <w:r w:rsidR="001E1F6C" w:rsidRPr="00A77BD5">
        <w:rPr>
          <w:rFonts w:ascii="Times New Roman" w:hAnsi="Times New Roman"/>
        </w:rPr>
        <w:t xml:space="preserve"> an intellectual scaffold for </w:t>
      </w:r>
      <w:r w:rsidRPr="00A77BD5">
        <w:rPr>
          <w:rFonts w:ascii="Times New Roman" w:hAnsi="Times New Roman"/>
        </w:rPr>
        <w:t xml:space="preserve">a </w:t>
      </w:r>
      <w:r w:rsidR="001E1F6C" w:rsidRPr="00A77BD5">
        <w:rPr>
          <w:rFonts w:ascii="Times New Roman" w:hAnsi="Times New Roman"/>
        </w:rPr>
        <w:t>bird</w:t>
      </w:r>
      <w:r w:rsidRPr="00A77BD5">
        <w:rPr>
          <w:rFonts w:ascii="Times New Roman" w:hAnsi="Times New Roman"/>
        </w:rPr>
        <w:t>’</w:t>
      </w:r>
      <w:r w:rsidR="001E1F6C" w:rsidRPr="00A77BD5">
        <w:rPr>
          <w:rFonts w:ascii="Times New Roman" w:hAnsi="Times New Roman"/>
        </w:rPr>
        <w:t>s eye survey of innovations in developmental finance</w:t>
      </w:r>
      <w:r w:rsidRPr="00A77BD5">
        <w:rPr>
          <w:rFonts w:ascii="Times New Roman" w:hAnsi="Times New Roman"/>
        </w:rPr>
        <w:t xml:space="preserve">. </w:t>
      </w:r>
      <w:r w:rsidR="001E1F6C" w:rsidRPr="00A77BD5">
        <w:rPr>
          <w:rFonts w:ascii="Times New Roman" w:hAnsi="Times New Roman"/>
        </w:rPr>
        <w:t xml:space="preserve"> In the final section I reflect on the implications of this messy, evolving institutional landscape for EMDEs, the BWIs, and financial stability.</w:t>
      </w:r>
    </w:p>
    <w:p w14:paraId="4FE08872" w14:textId="10618CBA" w:rsidR="008E2A2E" w:rsidRPr="00A77BD5" w:rsidRDefault="00FE4120" w:rsidP="004F7552">
      <w:pPr>
        <w:spacing w:line="360" w:lineRule="auto"/>
        <w:rPr>
          <w:rFonts w:ascii="Times New Roman" w:hAnsi="Times New Roman"/>
          <w:b/>
        </w:rPr>
      </w:pPr>
      <w:r w:rsidRPr="00A77BD5">
        <w:rPr>
          <w:rFonts w:ascii="Times New Roman" w:hAnsi="Times New Roman"/>
          <w:b/>
        </w:rPr>
        <w:t>THE</w:t>
      </w:r>
      <w:r w:rsidR="008E2A2E" w:rsidRPr="00A77BD5">
        <w:rPr>
          <w:rFonts w:ascii="Times New Roman" w:hAnsi="Times New Roman"/>
          <w:b/>
        </w:rPr>
        <w:t xml:space="preserve"> HIRSCHMANIAN </w:t>
      </w:r>
      <w:r w:rsidRPr="00A77BD5">
        <w:rPr>
          <w:rFonts w:ascii="Times New Roman" w:hAnsi="Times New Roman"/>
          <w:b/>
        </w:rPr>
        <w:t>MINDSET</w:t>
      </w:r>
    </w:p>
    <w:p w14:paraId="73DF577A" w14:textId="27001413" w:rsidR="008E2A2E" w:rsidRPr="00A77BD5" w:rsidRDefault="008E2A2E" w:rsidP="004F7552">
      <w:pPr>
        <w:pStyle w:val="NoSpacing"/>
        <w:spacing w:line="360" w:lineRule="auto"/>
        <w:rPr>
          <w:rFonts w:ascii="Times New Roman" w:hAnsi="Times New Roman"/>
        </w:rPr>
      </w:pPr>
      <w:r w:rsidRPr="00A77BD5">
        <w:rPr>
          <w:rFonts w:ascii="Times New Roman" w:hAnsi="Times New Roman"/>
        </w:rPr>
        <w:t xml:space="preserve">The </w:t>
      </w:r>
      <w:proofErr w:type="spellStart"/>
      <w:r w:rsidRPr="00A77BD5">
        <w:rPr>
          <w:rFonts w:ascii="Times New Roman" w:hAnsi="Times New Roman"/>
        </w:rPr>
        <w:t>Hirschmanian</w:t>
      </w:r>
      <w:proofErr w:type="spellEnd"/>
      <w:r w:rsidRPr="00A77BD5">
        <w:rPr>
          <w:rFonts w:ascii="Times New Roman" w:hAnsi="Times New Roman"/>
        </w:rPr>
        <w:t xml:space="preserve"> vision that underpins this article’s central claims begins from the presumption that change </w:t>
      </w:r>
      <w:r w:rsidR="0087234F" w:rsidRPr="00A77BD5">
        <w:rPr>
          <w:rFonts w:ascii="Times New Roman" w:hAnsi="Times New Roman"/>
        </w:rPr>
        <w:t xml:space="preserve">and development </w:t>
      </w:r>
      <w:r w:rsidRPr="00A77BD5">
        <w:rPr>
          <w:rFonts w:ascii="Times New Roman" w:hAnsi="Times New Roman"/>
        </w:rPr>
        <w:t xml:space="preserve">can come about through ad hoc, disconnected, and experimental innovations </w:t>
      </w:r>
      <w:r w:rsidRPr="00A77BD5">
        <w:rPr>
          <w:rFonts w:ascii="Times New Roman" w:hAnsi="Times New Roman"/>
          <w:color w:val="000000"/>
        </w:rPr>
        <w:t xml:space="preserve">that </w:t>
      </w:r>
      <w:r w:rsidRPr="00A77BD5">
        <w:rPr>
          <w:rFonts w:ascii="Times New Roman" w:hAnsi="Times New Roman"/>
        </w:rPr>
        <w:t xml:space="preserve">take root in the concrete demands facing policymakers </w:t>
      </w:r>
      <w:r w:rsidR="00097464" w:rsidRPr="00A77BD5">
        <w:rPr>
          <w:rFonts w:ascii="Times New Roman" w:hAnsi="Times New Roman"/>
        </w:rPr>
        <w:t>who possess</w:t>
      </w:r>
      <w:r w:rsidRPr="00A77BD5">
        <w:rPr>
          <w:rFonts w:ascii="Times New Roman" w:hAnsi="Times New Roman"/>
        </w:rPr>
        <w:t xml:space="preserve"> the capacity and willingness to engage in problem solving</w:t>
      </w:r>
      <w:r w:rsidR="004367D7" w:rsidRPr="00A77BD5">
        <w:rPr>
          <w:rFonts w:ascii="Times New Roman" w:hAnsi="Times New Roman"/>
        </w:rPr>
        <w:t xml:space="preserve"> and </w:t>
      </w:r>
      <w:r w:rsidR="006F1A56" w:rsidRPr="00A77BD5">
        <w:rPr>
          <w:rFonts w:ascii="Times New Roman" w:hAnsi="Times New Roman"/>
        </w:rPr>
        <w:t xml:space="preserve">who </w:t>
      </w:r>
      <w:r w:rsidRPr="00A77BD5">
        <w:rPr>
          <w:rFonts w:ascii="Times New Roman" w:hAnsi="Times New Roman"/>
        </w:rPr>
        <w:t xml:space="preserve">adjust pragmatically to perceived challenges and opportunities. I highlight </w:t>
      </w:r>
      <w:r w:rsidR="006F1A56" w:rsidRPr="00A77BD5">
        <w:rPr>
          <w:rFonts w:ascii="Times New Roman" w:hAnsi="Times New Roman"/>
        </w:rPr>
        <w:t xml:space="preserve">here </w:t>
      </w:r>
      <w:r w:rsidRPr="00A77BD5">
        <w:rPr>
          <w:rFonts w:ascii="Times New Roman" w:hAnsi="Times New Roman"/>
        </w:rPr>
        <w:t xml:space="preserve">the components of a </w:t>
      </w:r>
      <w:proofErr w:type="spellStart"/>
      <w:r w:rsidRPr="00A77BD5">
        <w:rPr>
          <w:rFonts w:ascii="Times New Roman" w:hAnsi="Times New Roman"/>
        </w:rPr>
        <w:t>Hirschmanian</w:t>
      </w:r>
      <w:proofErr w:type="spellEnd"/>
      <w:r w:rsidRPr="00A77BD5">
        <w:rPr>
          <w:rFonts w:ascii="Times New Roman" w:hAnsi="Times New Roman"/>
        </w:rPr>
        <w:t xml:space="preserve"> mindset that are most germane to the matter at hand </w:t>
      </w:r>
      <w:r w:rsidR="00891F56">
        <w:rPr>
          <w:rFonts w:ascii="Times New Roman" w:hAnsi="Times New Roman"/>
        </w:rPr>
        <w:fldChar w:fldCharType="begin"/>
      </w:r>
      <w:r w:rsidR="00891F56">
        <w:rPr>
          <w:rFonts w:ascii="Times New Roman" w:hAnsi="Times New Roman"/>
        </w:rPr>
        <w:instrText xml:space="preserve"> ADDIN EN.CITE &lt;EndNote&gt;&lt;Cite&gt;&lt;Author&gt;Grabel&lt;/Author&gt;&lt;Year&gt;2017&lt;/Year&gt;&lt;RecNum&gt;1930&lt;/RecNum&gt;&lt;Prefix&gt;on Hirschman’s vast oeuvre`, see &lt;/Prefix&gt;&lt;Pages&gt;ch. 2&lt;/Pages&gt;&lt;DisplayText&gt;(on Hirschman’s vast oeuvre, see Grabel 2017, ch. 2, Adelman 2013)&lt;/DisplayText&gt;&lt;record&gt;&lt;rec-number&gt;1930&lt;/rec-number&gt;&lt;foreign-keys&gt;&lt;key app="EN" db-id="x2xf5e95kefpz8e59fcx5psgerr9wepetvet" timestamp="1499956361"&gt;1930&lt;/key&gt;&lt;/foreign-keys&gt;&lt;ref-type name="Book"&gt;6&lt;/ref-type&gt;&lt;contributors&gt;&lt;authors&gt;&lt;author&gt;Grabel, Ilene&lt;/author&gt;&lt;/authors&gt;&lt;/contributors&gt;&lt;titles&gt;&lt;title&gt;When Things Don’t Fall Apart: Global Financial Governance and Developmental Finance in an Age of Productive Incoherence&lt;/title&gt;&lt;/titles&gt;&lt;dates&gt;&lt;year&gt;2017&lt;/year&gt;&lt;/dates&gt;&lt;pub-location&gt;Cambridge, MA&lt;/pub-location&gt;&lt;publisher&gt;MIT Press&lt;/publisher&gt;&lt;urls&gt;&lt;/urls&gt;&lt;/record&gt;&lt;/Cite&gt;&lt;Cite&gt;&lt;Author&gt;Adelman&lt;/Author&gt;&lt;Year&gt;2013&lt;/Year&gt;&lt;RecNum&gt;591&lt;/RecNum&gt;&lt;record&gt;&lt;rec-number&gt;591&lt;/rec-number&gt;&lt;foreign-keys&gt;&lt;key app="EN" db-id="x2xf5e95kefpz8e59fcx5psgerr9wepetvet" timestamp="1428516396"&gt;591&lt;/key&gt;&lt;/foreign-keys&gt;&lt;ref-type name="Book"&gt;6&lt;/ref-type&gt;&lt;contributors&gt;&lt;authors&gt;&lt;author&gt;Adelman, Jeremy&lt;/author&gt;&lt;/authors&gt;&lt;/contributors&gt;&lt;titles&gt;&lt;title&gt;Worldly Philosopher: The Odyssey of Albert O. Hirschman&lt;/title&gt;&lt;/titles&gt;&lt;dates&gt;&lt;year&gt;2013&lt;/year&gt;&lt;/dates&gt;&lt;pub-location&gt;Princeton, NJ&lt;/pub-location&gt;&lt;publisher&gt;Princeton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(on Hirschman’s vast oeuvre, see Grabel 2017, ch. 2, Adelman 2013)</w:t>
      </w:r>
      <w:r w:rsidR="00891F56">
        <w:rPr>
          <w:rFonts w:ascii="Times New Roman" w:hAnsi="Times New Roman"/>
        </w:rPr>
        <w:fldChar w:fldCharType="end"/>
      </w:r>
      <w:r w:rsidR="00BA0AF4" w:rsidRPr="00A77BD5">
        <w:rPr>
          <w:rFonts w:ascii="Times New Roman" w:hAnsi="Times New Roman"/>
        </w:rPr>
        <w:t>.</w:t>
      </w:r>
    </w:p>
    <w:p w14:paraId="5A2BC9E5" w14:textId="20228A5D" w:rsidR="008E2A2E" w:rsidRPr="00A77BD5" w:rsidRDefault="006F1A56" w:rsidP="004F7552">
      <w:pPr>
        <w:spacing w:line="360" w:lineRule="auto"/>
        <w:ind w:firstLine="720"/>
        <w:rPr>
          <w:rFonts w:ascii="Times New Roman" w:hAnsi="Times New Roman"/>
        </w:rPr>
      </w:pPr>
      <w:r w:rsidRPr="00A77BD5">
        <w:rPr>
          <w:rFonts w:ascii="Times New Roman" w:hAnsi="Times New Roman"/>
        </w:rPr>
        <w:t xml:space="preserve">Central to </w:t>
      </w:r>
      <w:r w:rsidR="008E2A2E" w:rsidRPr="00A77BD5">
        <w:rPr>
          <w:rFonts w:ascii="Times New Roman" w:hAnsi="Times New Roman"/>
        </w:rPr>
        <w:t xml:space="preserve">Hirschman’s work is the idea that knowledge is incomplete, partial, and dispersed. For Hirschman, as for Hayek (whom he drew upon admiringly) and Popper, there were “limits to ‘intelligibility’ of our complex world” </w:t>
      </w:r>
      <w:r w:rsidR="00891F56">
        <w:rPr>
          <w:rFonts w:ascii="Times New Roman" w:hAnsi="Times New Roman"/>
        </w:rPr>
        <w:fldChar w:fldCharType="begin"/>
      </w:r>
      <w:r w:rsidR="00891F56">
        <w:rPr>
          <w:rFonts w:ascii="Times New Roman" w:hAnsi="Times New Roman"/>
        </w:rPr>
        <w:instrText xml:space="preserve"> ADDIN EN.CITE &lt;EndNote&gt;&lt;Cite&gt;&lt;Author&gt;Adelman&lt;/Author&gt;&lt;Year&gt;2013&lt;/Year&gt;&lt;RecNum&gt;591&lt;/RecNum&gt;&lt;Pages&gt;238&lt;/Pages&gt;&lt;DisplayText&gt;(Adelman 2013, 238, Hayek 2014[1944], 181, Popper 1957)&lt;/DisplayText&gt;&lt;record&gt;&lt;rec-number&gt;591&lt;/rec-number&gt;&lt;foreign-keys&gt;&lt;key app="EN" db-id="x2xf5e95kefpz8e59fcx5psgerr9wepetvet" timestamp="1428516396"&gt;591&lt;/key&gt;&lt;/foreign-keys&gt;&lt;ref-type name="Book"&gt;6&lt;/ref-type&gt;&lt;contributors&gt;&lt;authors&gt;&lt;author&gt;Adelman, Jeremy&lt;/author&gt;&lt;/authors&gt;&lt;/contributors&gt;&lt;titles&gt;&lt;title&gt;Worldly Philosopher: The Odyssey of Albert O. Hirschman&lt;/title&gt;&lt;/titles&gt;&lt;dates&gt;&lt;year&gt;2013&lt;/year&gt;&lt;/dates&gt;&lt;pub-location&gt;Princeton, NJ&lt;/pub-location&gt;&lt;publisher&gt;Princeton University Press&lt;/publisher&gt;&lt;urls&gt;&lt;/urls&gt;&lt;/record&gt;&lt;/Cite&gt;&lt;Cite&gt;&lt;Author&gt;Hayek&lt;/Author&gt;&lt;Year&gt;2014[1944]&lt;/Year&gt;&lt;RecNum&gt;541&lt;/RecNum&gt;&lt;Pages&gt;181&lt;/Pages&gt;&lt;record&gt;&lt;rec-number&gt;541&lt;/rec-number&gt;&lt;foreign-keys&gt;&lt;key app="EN" db-id="x2xf5e95kefpz8e59fcx5psgerr9wepetvet" timestamp="1427665857"&gt;541&lt;/key&gt;&lt;/foreign-keys&gt;&lt;ref-type name="Book"&gt;6&lt;/ref-type&gt;&lt;contributors&gt;&lt;authors&gt;&lt;author&gt;Hayek, Friedrich&lt;/author&gt;&lt;/authors&gt;&lt;/contributors&gt;&lt;titles&gt;&lt;title&gt;The Road to Serfdom&lt;/title&gt;&lt;/titles&gt;&lt;dates&gt;&lt;year&gt;2014[1944]&lt;/year&gt;&lt;/dates&gt;&lt;pub-location&gt;London&lt;/pub-location&gt;&lt;publisher&gt;Routledge&lt;/publisher&gt;&lt;urls&gt;&lt;/urls&gt;&lt;/record&gt;&lt;/Cite&gt;&lt;Cite&gt;&lt;Author&gt;Popper&lt;/Author&gt;&lt;Year&gt;1957&lt;/Year&gt;&lt;RecNum&gt;1408&lt;/RecNum&gt;&lt;record&gt;&lt;rec-number&gt;1408&lt;/rec-number&gt;&lt;foreign-keys&gt;&lt;key app="EN" db-id="x2xf5e95kefpz8e59fcx5psgerr9wepetvet" timestamp="1440277484"&gt;1408&lt;/key&gt;&lt;/foreign-keys&gt;&lt;ref-type name="Book"&gt;6&lt;/ref-type&gt;&lt;contributors&gt;&lt;authors&gt;&lt;author&gt;Popper, Karl R.&lt;/author&gt;&lt;/authors&gt;&lt;/contributors&gt;&lt;titles&gt;&lt;title&gt;The Poverty of Historicism&lt;/title&gt;&lt;/titles&gt;&lt;volume&gt;2&lt;/volume&gt;&lt;dates&gt;&lt;year&gt;1957&lt;/year&gt;&lt;/dates&gt;&lt;pub-location&gt;London&lt;/pub-location&gt;&lt;publisher&gt;Routledge and Kegan Paul&lt;/publisher&gt;&lt;urls&gt;&lt;/urls&gt;&lt;/record&gt;&lt;/Cite&gt;&lt;/EndNote&gt;</w:instrText>
      </w:r>
      <w:r w:rsidR="00891F56">
        <w:rPr>
          <w:rFonts w:ascii="Times New Roman" w:hAnsi="Times New Roman"/>
        </w:rPr>
        <w:fldChar w:fldCharType="separate"/>
      </w:r>
      <w:r w:rsidR="00891F56">
        <w:rPr>
          <w:rFonts w:ascii="Times New Roman" w:hAnsi="Times New Roman"/>
          <w:noProof/>
        </w:rPr>
        <w:t>(Adelman 2013, 238, Hayek 2014[1944], 181, Popper 1957)</w:t>
      </w:r>
      <w:r w:rsidR="00891F56">
        <w:rPr>
          <w:rFonts w:ascii="Times New Roman" w:hAnsi="Times New Roman"/>
        </w:rPr>
        <w:fldChar w:fldCharType="end"/>
      </w:r>
      <w:r w:rsidR="008E2A2E" w:rsidRPr="00A77BD5">
        <w:rPr>
          <w:rFonts w:ascii="Times New Roman" w:hAnsi="Times New Roman"/>
        </w:rPr>
        <w:t xml:space="preserve">. This epistemic commitment led Hirschman to reject the social scientific predilection to design and implement </w:t>
      </w:r>
      <w:r w:rsidR="00590358" w:rsidRPr="00A77BD5">
        <w:rPr>
          <w:rFonts w:ascii="Times New Roman" w:hAnsi="Times New Roman"/>
        </w:rPr>
        <w:t xml:space="preserve">comprehensive </w:t>
      </w:r>
      <w:r w:rsidR="008E2A2E" w:rsidRPr="00A77BD5">
        <w:rPr>
          <w:rFonts w:ascii="Times New Roman" w:hAnsi="Times New Roman"/>
        </w:rPr>
        <w:t>programs of social engineering</w:t>
      </w:r>
      <w:r w:rsidR="00827110" w:rsidRPr="00A77BD5">
        <w:rPr>
          <w:rFonts w:ascii="Times New Roman" w:hAnsi="Times New Roman"/>
        </w:rPr>
        <w:t>, such as neoliberalism</w:t>
      </w:r>
      <w:r w:rsidR="008E2A2E" w:rsidRPr="00A77BD5">
        <w:rPr>
          <w:rFonts w:ascii="Times New Roman" w:hAnsi="Times New Roman"/>
        </w:rPr>
        <w:t>.</w:t>
      </w:r>
      <w:r w:rsidR="008E2A2E" w:rsidRPr="00A77BD5">
        <w:rPr>
          <w:rStyle w:val="FootnoteReference"/>
          <w:rFonts w:ascii="Times New Roman" w:hAnsi="Times New Roman"/>
        </w:rPr>
        <w:footnoteReference w:id="4"/>
      </w:r>
    </w:p>
    <w:p w14:paraId="5CED49A8" w14:textId="7CCB0AC3" w:rsidR="008E2A2E" w:rsidRPr="00A77BD5" w:rsidRDefault="008E2A2E" w:rsidP="004F7552">
      <w:pPr>
        <w:pStyle w:val="EndNoteBibliography"/>
        <w:spacing w:line="360" w:lineRule="auto"/>
        <w:ind w:firstLine="720"/>
        <w:rPr>
          <w:rFonts w:ascii="Times New Roman" w:hAnsi="Times New Roman"/>
        </w:rPr>
      </w:pPr>
      <w:r w:rsidRPr="00A77BD5">
        <w:rPr>
          <w:rFonts w:ascii="Times New Roman" w:hAnsi="Times New Roman"/>
        </w:rPr>
        <w:t xml:space="preserve">Hirschman’s Hiding Hand concept reflected his epistemic </w:t>
      </w:r>
      <w:r w:rsidR="00B000AE" w:rsidRPr="00A77BD5">
        <w:rPr>
          <w:rFonts w:ascii="Times New Roman" w:hAnsi="Times New Roman"/>
        </w:rPr>
        <w:t>view</w:t>
      </w:r>
      <w:r w:rsidRPr="00A77BD5">
        <w:rPr>
          <w:rFonts w:ascii="Times New Roman" w:hAnsi="Times New Roman"/>
        </w:rPr>
        <w:t xml:space="preserve"> </w:t>
      </w:r>
      <w:r w:rsidR="00564637" w:rsidRPr="00A77BD5">
        <w:rPr>
          <w:rFonts w:ascii="Times New Roman" w:hAnsi="Times New Roman"/>
        </w:rPr>
        <w:t xml:space="preserve">(shared </w:t>
      </w:r>
      <w:r w:rsidR="0075799A" w:rsidRPr="00A77BD5">
        <w:rPr>
          <w:rFonts w:ascii="Times New Roman" w:hAnsi="Times New Roman"/>
        </w:rPr>
        <w:t xml:space="preserve">with Keynes, Knight, and Hayek) </w:t>
      </w:r>
      <w:r w:rsidRPr="00A77BD5">
        <w:rPr>
          <w:rFonts w:ascii="Times New Roman" w:hAnsi="Times New Roman"/>
        </w:rPr>
        <w:t xml:space="preserve">that actors always operate in a state of uncertainty </w:t>
      </w:r>
      <w:r w:rsidR="00891F56">
        <w:rPr>
          <w:rFonts w:ascii="Times New Roman" w:hAnsi="Times New Roman"/>
        </w:rPr>
        <w:fldChar w:fldCharType="begin"/>
      </w:r>
      <w:r w:rsidR="00891F56">
        <w:rPr>
          <w:rFonts w:ascii="Times New Roman" w:hAnsi="Times New Roman"/>
        </w:rPr>
        <w:instrText xml:space="preserve"> ADDIN EN.CITE &lt;EndNote&gt;&lt;Cite&gt;&lt;Author&gt;Hirschman&lt;/Author&gt;&lt;Year&gt;1967&lt;/Year&gt;&lt;RecNum&gt;1277&lt;/RecNum&gt;&lt;DisplayText&gt;(Hirschman 1967)&lt;/DisplayText&gt;&lt;record&gt;&lt;rec-number&gt;1277&lt;/rec-number&gt;&lt;foreign-keys&gt;&lt;key app="EN" db-id="x2xf5e95kefpz8e59fcx5psgerr9wepetvet" timestamp="1432872019"&gt;1277&lt;/key&gt;&lt;/foreign-keys&gt;&lt;ref-type name="Book"&gt;6&lt;/ref-type&gt;&lt;contributors&gt;&lt;authors&gt;&lt;author&gt;Hirschman, Albert O.&lt;/author&gt;&lt;/authors&gt;&lt;/contributors&gt;&lt;titles&gt;&lt;title&gt;Development Projects Observed&lt;/title&gt;&lt;/titles&gt;&lt;dates&gt;&lt;year&gt;1967&lt;/year&gt;&lt;/dates&gt;&lt;pub-location&gt;Washington, DC&lt;/pub-location&gt;&lt;publisher&gt;Brookings Institution&lt;/publisher&gt;&lt;urls&gt;&lt;/urls&gt;&lt;/record&gt;&lt;/Cite&gt;&lt;/EndNote&gt;</w:instrText>
      </w:r>
      <w:r w:rsidR="00891F56">
        <w:rPr>
          <w:rFonts w:ascii="Times New Roman" w:hAnsi="Times New Roman"/>
        </w:rPr>
        <w:fldChar w:fldCharType="separate"/>
      </w:r>
      <w:r w:rsidR="00891F56">
        <w:rPr>
          <w:rFonts w:ascii="Times New Roman" w:hAnsi="Times New Roman"/>
          <w:noProof/>
        </w:rPr>
        <w:t>(Hirschman 1967)</w:t>
      </w:r>
      <w:r w:rsidR="00891F56">
        <w:rPr>
          <w:rFonts w:ascii="Times New Roman" w:hAnsi="Times New Roman"/>
        </w:rPr>
        <w:fldChar w:fldCharType="end"/>
      </w:r>
      <w:r w:rsidRPr="00A77BD5">
        <w:rPr>
          <w:rFonts w:ascii="Times New Roman" w:hAnsi="Times New Roman"/>
        </w:rPr>
        <w:t xml:space="preserve">. But rather than inhibiting or distorting action, Hirschman saw uncertainty, ignorance, and error as </w:t>
      </w:r>
      <w:r w:rsidR="00C94D1E" w:rsidRPr="00A77BD5">
        <w:rPr>
          <w:rFonts w:ascii="Times New Roman" w:hAnsi="Times New Roman"/>
        </w:rPr>
        <w:t xml:space="preserve">potential </w:t>
      </w:r>
      <w:r w:rsidRPr="00A77BD5">
        <w:rPr>
          <w:rFonts w:ascii="Times New Roman" w:hAnsi="Times New Roman"/>
        </w:rPr>
        <w:t>drivers of problem solving by policy entrepreneurs. Once a project is initiated participants are challenged to develop solutions to unforeseen problems</w:t>
      </w:r>
      <w:r w:rsidR="008E27FF" w:rsidRPr="00A77BD5">
        <w:rPr>
          <w:rFonts w:ascii="Times New Roman" w:hAnsi="Times New Roman"/>
        </w:rPr>
        <w:t xml:space="preserve">. </w:t>
      </w:r>
      <w:r w:rsidR="00D311D0" w:rsidRPr="00A77BD5">
        <w:rPr>
          <w:rFonts w:ascii="Times New Roman" w:hAnsi="Times New Roman"/>
        </w:rPr>
        <w:t xml:space="preserve">For example, a new </w:t>
      </w:r>
      <w:r w:rsidR="000B3A6B" w:rsidRPr="00A77BD5">
        <w:rPr>
          <w:rFonts w:ascii="Times New Roman" w:hAnsi="Times New Roman"/>
        </w:rPr>
        <w:t xml:space="preserve">development </w:t>
      </w:r>
      <w:r w:rsidR="00D311D0" w:rsidRPr="00A77BD5">
        <w:rPr>
          <w:rFonts w:ascii="Times New Roman" w:hAnsi="Times New Roman"/>
        </w:rPr>
        <w:t xml:space="preserve">bank may </w:t>
      </w:r>
      <w:r w:rsidR="00D71586" w:rsidRPr="00A77BD5">
        <w:rPr>
          <w:rFonts w:ascii="Times New Roman" w:hAnsi="Times New Roman"/>
        </w:rPr>
        <w:t xml:space="preserve">screen loans </w:t>
      </w:r>
      <w:r w:rsidR="00D311D0" w:rsidRPr="00A77BD5">
        <w:rPr>
          <w:rFonts w:ascii="Times New Roman" w:hAnsi="Times New Roman"/>
        </w:rPr>
        <w:t>inadequate</w:t>
      </w:r>
      <w:r w:rsidR="00D71586" w:rsidRPr="00A77BD5">
        <w:rPr>
          <w:rFonts w:ascii="Times New Roman" w:hAnsi="Times New Roman"/>
        </w:rPr>
        <w:t>ly</w:t>
      </w:r>
      <w:r w:rsidR="00AC0D9F" w:rsidRPr="00A77BD5">
        <w:rPr>
          <w:rFonts w:ascii="Times New Roman" w:hAnsi="Times New Roman"/>
        </w:rPr>
        <w:t xml:space="preserve">, and </w:t>
      </w:r>
      <w:r w:rsidR="00D311D0" w:rsidRPr="00A77BD5">
        <w:rPr>
          <w:rFonts w:ascii="Times New Roman" w:hAnsi="Times New Roman"/>
        </w:rPr>
        <w:t xml:space="preserve">recognition </w:t>
      </w:r>
      <w:r w:rsidR="00AC0D9F" w:rsidRPr="00A77BD5">
        <w:rPr>
          <w:rFonts w:ascii="Times New Roman" w:hAnsi="Times New Roman"/>
        </w:rPr>
        <w:t xml:space="preserve">of this </w:t>
      </w:r>
      <w:r w:rsidR="00D311D0" w:rsidRPr="00A77BD5">
        <w:rPr>
          <w:rFonts w:ascii="Times New Roman" w:hAnsi="Times New Roman"/>
        </w:rPr>
        <w:t xml:space="preserve">can </w:t>
      </w:r>
      <w:r w:rsidR="000B3A6B" w:rsidRPr="00A77BD5">
        <w:rPr>
          <w:rFonts w:ascii="Times New Roman" w:hAnsi="Times New Roman"/>
        </w:rPr>
        <w:t xml:space="preserve">propel </w:t>
      </w:r>
      <w:r w:rsidR="00E9565E" w:rsidRPr="00A77BD5">
        <w:rPr>
          <w:rFonts w:ascii="Times New Roman" w:hAnsi="Times New Roman"/>
        </w:rPr>
        <w:t xml:space="preserve">development of better screening methodologies. </w:t>
      </w:r>
      <w:r w:rsidR="00C55FE6" w:rsidRPr="00A77BD5">
        <w:rPr>
          <w:rFonts w:ascii="Times New Roman" w:hAnsi="Times New Roman"/>
        </w:rPr>
        <w:t xml:space="preserve">Moreover, a strategy </w:t>
      </w:r>
      <w:r w:rsidRPr="00A77BD5">
        <w:rPr>
          <w:rFonts w:ascii="Times New Roman" w:hAnsi="Times New Roman"/>
        </w:rPr>
        <w:t>devise</w:t>
      </w:r>
      <w:r w:rsidR="00C55FE6" w:rsidRPr="00A77BD5">
        <w:rPr>
          <w:rFonts w:ascii="Times New Roman" w:hAnsi="Times New Roman"/>
        </w:rPr>
        <w:t>d</w:t>
      </w:r>
      <w:r w:rsidRPr="00A77BD5">
        <w:rPr>
          <w:rFonts w:ascii="Times New Roman" w:hAnsi="Times New Roman"/>
        </w:rPr>
        <w:t xml:space="preserve"> out of necessity can have positive, lasting spillover effects</w:t>
      </w:r>
      <w:r w:rsidR="00C55FE6" w:rsidRPr="00A77BD5">
        <w:rPr>
          <w:rFonts w:ascii="Times New Roman" w:hAnsi="Times New Roman"/>
        </w:rPr>
        <w:t xml:space="preserve">, even if the </w:t>
      </w:r>
      <w:r w:rsidRPr="00A77BD5">
        <w:rPr>
          <w:rFonts w:ascii="Times New Roman" w:hAnsi="Times New Roman"/>
        </w:rPr>
        <w:t xml:space="preserve">project ultimately fails. </w:t>
      </w:r>
      <w:r w:rsidR="00CA008C" w:rsidRPr="00A77BD5">
        <w:rPr>
          <w:rFonts w:ascii="Times New Roman" w:hAnsi="Times New Roman"/>
        </w:rPr>
        <w:t>A</w:t>
      </w:r>
      <w:r w:rsidRPr="00A77BD5">
        <w:rPr>
          <w:rFonts w:ascii="Times New Roman" w:hAnsi="Times New Roman"/>
        </w:rPr>
        <w:t xml:space="preserve">bandoned or failed projects can have beneficial side effects in other contexts owing to the learning and networks left behind. For example, failure to launch the Bank of the South may have imparted valuable lessons </w:t>
      </w:r>
      <w:r w:rsidR="004B7B5C" w:rsidRPr="00A77BD5">
        <w:rPr>
          <w:rFonts w:ascii="Times New Roman" w:hAnsi="Times New Roman"/>
        </w:rPr>
        <w:t xml:space="preserve">for the </w:t>
      </w:r>
      <w:r w:rsidRPr="00A77BD5">
        <w:rPr>
          <w:rFonts w:ascii="Times New Roman" w:hAnsi="Times New Roman"/>
        </w:rPr>
        <w:t>future</w:t>
      </w:r>
      <w:r w:rsidR="00C34695" w:rsidRPr="00A77BD5">
        <w:rPr>
          <w:rFonts w:ascii="Times New Roman" w:hAnsi="Times New Roman"/>
        </w:rPr>
        <w:t>.</w:t>
      </w:r>
    </w:p>
    <w:p w14:paraId="162F885A" w14:textId="4481DD52" w:rsidR="008E2A2E" w:rsidRPr="00A77BD5" w:rsidRDefault="008E2A2E" w:rsidP="004F7552">
      <w:pPr>
        <w:pStyle w:val="EndNoteBibliography"/>
        <w:spacing w:line="360" w:lineRule="auto"/>
        <w:ind w:firstLine="720"/>
        <w:rPr>
          <w:rFonts w:ascii="Times New Roman" w:hAnsi="Times New Roman"/>
        </w:rPr>
      </w:pPr>
      <w:r w:rsidRPr="00A77BD5">
        <w:rPr>
          <w:rFonts w:ascii="Times New Roman" w:hAnsi="Times New Roman"/>
        </w:rPr>
        <w:t>In connection with the above, Hir</w:t>
      </w:r>
      <w:r w:rsidR="00EB56AB">
        <w:rPr>
          <w:rFonts w:ascii="Times New Roman" w:hAnsi="Times New Roman"/>
        </w:rPr>
        <w:t>schman emphasized the value of ‘</w:t>
      </w:r>
      <w:r w:rsidRPr="00A77BD5">
        <w:rPr>
          <w:rFonts w:ascii="Times New Roman" w:hAnsi="Times New Roman"/>
        </w:rPr>
        <w:t>b</w:t>
      </w:r>
      <w:r w:rsidR="00EB56AB">
        <w:rPr>
          <w:rFonts w:ascii="Times New Roman" w:hAnsi="Times New Roman"/>
        </w:rPr>
        <w:t>ackwards and forwards linkages,’</w:t>
      </w:r>
      <w:r w:rsidRPr="00A77BD5">
        <w:rPr>
          <w:rFonts w:ascii="Times New Roman" w:hAnsi="Times New Roman"/>
        </w:rPr>
        <w:t xml:space="preserve"> which are new upstream or downstream economic, political, or social effects or capa</w:t>
      </w:r>
      <w:r w:rsidR="00567E58" w:rsidRPr="00A77BD5">
        <w:rPr>
          <w:rFonts w:ascii="Times New Roman" w:hAnsi="Times New Roman"/>
        </w:rPr>
        <w:t xml:space="preserve">bilities that result from </w:t>
      </w:r>
      <w:r w:rsidRPr="00A77BD5">
        <w:rPr>
          <w:rFonts w:ascii="Times New Roman" w:hAnsi="Times New Roman"/>
        </w:rPr>
        <w:t xml:space="preserve">choices made by state, institutional, or private actors </w:t>
      </w:r>
      <w:r w:rsidR="00891F56">
        <w:rPr>
          <w:rFonts w:ascii="Times New Roman" w:hAnsi="Times New Roman"/>
        </w:rPr>
        <w:fldChar w:fldCharType="begin"/>
      </w:r>
      <w:r w:rsidR="00891F56">
        <w:rPr>
          <w:rFonts w:ascii="Times New Roman" w:hAnsi="Times New Roman"/>
        </w:rPr>
        <w:instrText xml:space="preserve"> ADDIN EN.CITE &lt;EndNote&gt;&lt;Cite Hidden="1"&gt;&lt;Author&gt;Hirschman&lt;/Author&gt;&lt;Year&gt;1969[1958]&lt;/Year&gt;&lt;RecNum&gt;537&lt;/RecNum&gt;&lt;record&gt;&lt;rec-number&gt;537&lt;/rec-number&gt;&lt;foreign-keys&gt;&lt;key app="EN" db-id="x2xf5e95kefpz8e59fcx5psgerr9wepetvet" timestamp="1427661778"&gt;537&lt;/key&gt;&lt;/foreign-keys&gt;&lt;ref-type name="Book"&gt;6&lt;/ref-type&gt;&lt;contributors&gt;&lt;authors&gt;&lt;author&gt;Hirschman, Albert O.&lt;/author&gt;&lt;/authors&gt;&lt;/contributors&gt;&lt;titles&gt;&lt;title&gt;The Strategy of Economic Development&lt;/title&gt;&lt;/titles&gt;&lt;dates&gt;&lt;year&gt;1969[1958]&lt;/year&gt;&lt;/dates&gt;&lt;pub-location&gt;New Haven, CT&lt;/pub-location&gt;&lt;publisher&gt;Yale University Press&lt;/publisher&gt;&lt;urls&gt;&lt;/urls&gt;&lt;/record&gt;&lt;/Cite&gt;&lt;/EndNote&gt;</w:instrText>
      </w:r>
      <w:r w:rsidR="00891F56">
        <w:rPr>
          <w:rFonts w:ascii="Times New Roman" w:hAnsi="Times New Roman"/>
        </w:rPr>
        <w:fldChar w:fldCharType="end"/>
      </w:r>
      <w:r w:rsidRPr="00A77BD5">
        <w:rPr>
          <w:rFonts w:ascii="Times New Roman" w:hAnsi="Times New Roman"/>
        </w:rPr>
        <w:t xml:space="preserve">. </w:t>
      </w:r>
      <w:r w:rsidR="00760980" w:rsidRPr="00A77BD5">
        <w:rPr>
          <w:rFonts w:ascii="Times New Roman" w:hAnsi="Times New Roman"/>
        </w:rPr>
        <w:t xml:space="preserve">For example, </w:t>
      </w:r>
      <w:r w:rsidRPr="00A77BD5">
        <w:rPr>
          <w:rFonts w:ascii="Times New Roman" w:hAnsi="Times New Roman"/>
        </w:rPr>
        <w:t xml:space="preserve">creation of </w:t>
      </w:r>
      <w:r w:rsidR="00D32FE0" w:rsidRPr="00A77BD5">
        <w:rPr>
          <w:rFonts w:ascii="Times New Roman" w:hAnsi="Times New Roman"/>
        </w:rPr>
        <w:t xml:space="preserve">a </w:t>
      </w:r>
      <w:r w:rsidRPr="00A77BD5">
        <w:rPr>
          <w:rFonts w:ascii="Times New Roman" w:hAnsi="Times New Roman"/>
        </w:rPr>
        <w:t xml:space="preserve">development bank </w:t>
      </w:r>
      <w:r w:rsidR="003F480B" w:rsidRPr="00A77BD5">
        <w:rPr>
          <w:rFonts w:ascii="Times New Roman" w:hAnsi="Times New Roman"/>
        </w:rPr>
        <w:t xml:space="preserve">induces </w:t>
      </w:r>
      <w:r w:rsidRPr="00A77BD5">
        <w:rPr>
          <w:rFonts w:ascii="Times New Roman" w:hAnsi="Times New Roman"/>
        </w:rPr>
        <w:t xml:space="preserve">demand for </w:t>
      </w:r>
      <w:r w:rsidR="00715A60" w:rsidRPr="00A77BD5">
        <w:rPr>
          <w:rFonts w:ascii="Times New Roman" w:hAnsi="Times New Roman"/>
        </w:rPr>
        <w:t>loan officers</w:t>
      </w:r>
      <w:r w:rsidR="0013687E" w:rsidRPr="00A77BD5">
        <w:rPr>
          <w:rFonts w:ascii="Times New Roman" w:hAnsi="Times New Roman"/>
        </w:rPr>
        <w:t>, and thereby f</w:t>
      </w:r>
      <w:r w:rsidR="007F79AC" w:rsidRPr="00A77BD5">
        <w:rPr>
          <w:rFonts w:ascii="Times New Roman" w:hAnsi="Times New Roman"/>
        </w:rPr>
        <w:t>or training investments in this area</w:t>
      </w:r>
      <w:r w:rsidR="00715A60" w:rsidRPr="00A77BD5">
        <w:rPr>
          <w:rFonts w:ascii="Times New Roman" w:hAnsi="Times New Roman"/>
        </w:rPr>
        <w:t xml:space="preserve"> </w:t>
      </w:r>
      <w:r w:rsidR="00D32FE0" w:rsidRPr="00A77BD5">
        <w:rPr>
          <w:rFonts w:ascii="Times New Roman" w:hAnsi="Times New Roman"/>
        </w:rPr>
        <w:t>(</w:t>
      </w:r>
      <w:r w:rsidR="00B12E77" w:rsidRPr="00A77BD5">
        <w:rPr>
          <w:rFonts w:ascii="Times New Roman" w:hAnsi="Times New Roman"/>
        </w:rPr>
        <w:t xml:space="preserve">i.e., a </w:t>
      </w:r>
      <w:r w:rsidR="00D32FE0" w:rsidRPr="00A77BD5">
        <w:rPr>
          <w:rFonts w:ascii="Times New Roman" w:hAnsi="Times New Roman"/>
        </w:rPr>
        <w:t>backward linkage)</w:t>
      </w:r>
      <w:r w:rsidR="007C0CEA" w:rsidRPr="00A77BD5">
        <w:rPr>
          <w:rFonts w:ascii="Times New Roman" w:hAnsi="Times New Roman"/>
        </w:rPr>
        <w:t xml:space="preserve">. </w:t>
      </w:r>
      <w:r w:rsidR="0023431D" w:rsidRPr="00A77BD5">
        <w:rPr>
          <w:rFonts w:ascii="Times New Roman" w:hAnsi="Times New Roman"/>
        </w:rPr>
        <w:t xml:space="preserve">When loans </w:t>
      </w:r>
      <w:r w:rsidR="0035443F" w:rsidRPr="00A77BD5">
        <w:rPr>
          <w:rFonts w:ascii="Times New Roman" w:hAnsi="Times New Roman"/>
        </w:rPr>
        <w:t xml:space="preserve">are made in </w:t>
      </w:r>
      <w:r w:rsidR="0023431D" w:rsidRPr="00A77BD5">
        <w:rPr>
          <w:rFonts w:ascii="Times New Roman" w:hAnsi="Times New Roman"/>
        </w:rPr>
        <w:t xml:space="preserve">support </w:t>
      </w:r>
      <w:r w:rsidR="0035443F" w:rsidRPr="00A77BD5">
        <w:rPr>
          <w:rFonts w:ascii="Times New Roman" w:hAnsi="Times New Roman"/>
        </w:rPr>
        <w:t>of</w:t>
      </w:r>
      <w:r w:rsidR="007F79AC" w:rsidRPr="00A77BD5">
        <w:rPr>
          <w:rFonts w:ascii="Times New Roman" w:hAnsi="Times New Roman"/>
        </w:rPr>
        <w:t xml:space="preserve"> solar energy</w:t>
      </w:r>
      <w:r w:rsidR="00AB3D48" w:rsidRPr="00A77BD5">
        <w:rPr>
          <w:rFonts w:ascii="Times New Roman" w:hAnsi="Times New Roman"/>
        </w:rPr>
        <w:t>,</w:t>
      </w:r>
      <w:r w:rsidR="007F79AC" w:rsidRPr="00A77BD5">
        <w:rPr>
          <w:rFonts w:ascii="Times New Roman" w:hAnsi="Times New Roman"/>
        </w:rPr>
        <w:t xml:space="preserve"> demand for </w:t>
      </w:r>
      <w:r w:rsidR="00A425F2" w:rsidRPr="00A77BD5">
        <w:rPr>
          <w:rFonts w:ascii="Times New Roman" w:hAnsi="Times New Roman"/>
        </w:rPr>
        <w:t xml:space="preserve">technicians to install </w:t>
      </w:r>
      <w:r w:rsidR="007F79AC" w:rsidRPr="00A77BD5">
        <w:rPr>
          <w:rFonts w:ascii="Times New Roman" w:hAnsi="Times New Roman"/>
        </w:rPr>
        <w:t>so</w:t>
      </w:r>
      <w:r w:rsidR="00AB3D48" w:rsidRPr="00A77BD5">
        <w:rPr>
          <w:rFonts w:ascii="Times New Roman" w:hAnsi="Times New Roman"/>
        </w:rPr>
        <w:t>lar panels</w:t>
      </w:r>
      <w:r w:rsidR="00C04EF7" w:rsidRPr="00A77BD5">
        <w:rPr>
          <w:rFonts w:ascii="Times New Roman" w:hAnsi="Times New Roman"/>
        </w:rPr>
        <w:t xml:space="preserve"> is created </w:t>
      </w:r>
      <w:r w:rsidR="00760980" w:rsidRPr="00A77BD5">
        <w:rPr>
          <w:rFonts w:ascii="Times New Roman" w:hAnsi="Times New Roman"/>
        </w:rPr>
        <w:t>(</w:t>
      </w:r>
      <w:r w:rsidR="00C04EF7" w:rsidRPr="00A77BD5">
        <w:rPr>
          <w:rFonts w:ascii="Times New Roman" w:hAnsi="Times New Roman"/>
        </w:rPr>
        <w:t xml:space="preserve">i.e., </w:t>
      </w:r>
      <w:r w:rsidR="00760980" w:rsidRPr="00A77BD5">
        <w:rPr>
          <w:rFonts w:ascii="Times New Roman" w:hAnsi="Times New Roman"/>
        </w:rPr>
        <w:t>a forward linkage).</w:t>
      </w:r>
      <w:r w:rsidRPr="00A77BD5">
        <w:rPr>
          <w:rFonts w:ascii="Times New Roman" w:hAnsi="Times New Roman"/>
        </w:rPr>
        <w:t xml:space="preserve"> The idea of linkages grew out of Hirschman’s view that growth should be thought of as an unbalanced process; that strategies should focus around targeted rather than grand plans; and that careful consideration should be given to the </w:t>
      </w:r>
      <w:r w:rsidR="00553FA6" w:rsidRPr="00A77BD5">
        <w:rPr>
          <w:rFonts w:ascii="Times New Roman" w:hAnsi="Times New Roman"/>
        </w:rPr>
        <w:t>relative</w:t>
      </w:r>
      <w:r w:rsidRPr="00A77BD5">
        <w:rPr>
          <w:rFonts w:ascii="Times New Roman" w:hAnsi="Times New Roman"/>
        </w:rPr>
        <w:t xml:space="preserve"> value of the linkages created by particular innovations. Hirschman also underscored the essential role o</w:t>
      </w:r>
      <w:r w:rsidR="00A25592">
        <w:rPr>
          <w:rFonts w:ascii="Times New Roman" w:hAnsi="Times New Roman"/>
        </w:rPr>
        <w:t>f ‘side effects’</w:t>
      </w:r>
      <w:r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&lt;EndNote&gt;&lt;Cite&gt;&lt;Author&gt;Hirschman&lt;/Author&gt;&lt;Year&gt;1967&lt;/Year&gt;&lt;RecNum&gt;1277&lt;/RecNum&gt;&lt;Pages&gt;149&lt;/Pages&gt;&lt;DisplayText&gt;(Hirschman 1967, 149)&lt;/DisplayText&gt;&lt;record&gt;&lt;rec-number&gt;1277&lt;/rec-number&gt;&lt;foreign-keys&gt;&lt;key app="EN" db-id="x2xf5e95kefpz8e59fcx5psgerr9wepetvet" timestamp="1432872019"&gt;1277&lt;/key&gt;&lt;/foreign-keys&gt;&lt;ref-type name="Book"&gt;6&lt;/ref-type&gt;&lt;contributors&gt;&lt;authors&gt;&lt;author&gt;Hirschman, Albert O.&lt;/author&gt;&lt;/authors&gt;&lt;/contributors&gt;&lt;titles&gt;&lt;title&gt;Development Projects Observed&lt;/title&gt;&lt;/titles&gt;&lt;dates&gt;&lt;year&gt;1967&lt;/year&gt;&lt;/dates&gt;&lt;pub-location&gt;Washington, DC&lt;/pub-location&gt;&lt;publisher&gt;Brookings Institution&lt;/publisher&gt;&lt;urls&gt;&lt;/urls&gt;&lt;/record&gt;&lt;/Cite&gt;&lt;/EndNote&gt;</w:instrText>
      </w:r>
      <w:r w:rsidR="00891F56">
        <w:rPr>
          <w:rFonts w:ascii="Times New Roman" w:hAnsi="Times New Roman"/>
        </w:rPr>
        <w:fldChar w:fldCharType="separate"/>
      </w:r>
      <w:r w:rsidR="00891F56">
        <w:rPr>
          <w:rFonts w:ascii="Times New Roman" w:hAnsi="Times New Roman"/>
          <w:noProof/>
        </w:rPr>
        <w:t>(Hirschman 1967, 149)</w:t>
      </w:r>
      <w:r w:rsidR="00891F56">
        <w:rPr>
          <w:rFonts w:ascii="Times New Roman" w:hAnsi="Times New Roman"/>
        </w:rPr>
        <w:fldChar w:fldCharType="end"/>
      </w:r>
      <w:r w:rsidRPr="00A77BD5">
        <w:rPr>
          <w:rFonts w:ascii="Times New Roman" w:hAnsi="Times New Roman"/>
        </w:rPr>
        <w:t>. For example, a new initiative might establish as an unintended conseq</w:t>
      </w:r>
      <w:r w:rsidR="00A561D4" w:rsidRPr="00A77BD5">
        <w:rPr>
          <w:rFonts w:ascii="Times New Roman" w:hAnsi="Times New Roman"/>
        </w:rPr>
        <w:t>uence networks, knowledge of what works and what does not</w:t>
      </w:r>
      <w:r w:rsidRPr="00A77BD5">
        <w:rPr>
          <w:rFonts w:ascii="Times New Roman" w:hAnsi="Times New Roman"/>
        </w:rPr>
        <w:t xml:space="preserve">, and/or capabilities that can have beneficial spillovers elsewhere or in later moments. Experience with </w:t>
      </w:r>
      <w:r w:rsidR="00C22C10" w:rsidRPr="00A77BD5">
        <w:rPr>
          <w:rFonts w:ascii="Times New Roman" w:hAnsi="Times New Roman"/>
        </w:rPr>
        <w:t xml:space="preserve">overlapping </w:t>
      </w:r>
      <w:r w:rsidRPr="00A77BD5">
        <w:rPr>
          <w:rFonts w:ascii="Times New Roman" w:hAnsi="Times New Roman"/>
        </w:rPr>
        <w:t xml:space="preserve">liquidity support initiatives, for instance, may generate lessons about </w:t>
      </w:r>
      <w:r w:rsidR="004D6CFF" w:rsidRPr="00A77BD5">
        <w:rPr>
          <w:rFonts w:ascii="Times New Roman" w:hAnsi="Times New Roman"/>
        </w:rPr>
        <w:t xml:space="preserve">the need for </w:t>
      </w:r>
      <w:r w:rsidR="00B75564" w:rsidRPr="00A77BD5">
        <w:rPr>
          <w:rFonts w:ascii="Times New Roman" w:hAnsi="Times New Roman"/>
        </w:rPr>
        <w:t xml:space="preserve">and nature of </w:t>
      </w:r>
      <w:r w:rsidR="00C22C10" w:rsidRPr="00A77BD5">
        <w:rPr>
          <w:rFonts w:ascii="Times New Roman" w:hAnsi="Times New Roman"/>
        </w:rPr>
        <w:t xml:space="preserve">coordination </w:t>
      </w:r>
      <w:r w:rsidR="000C292F" w:rsidRPr="00A77BD5">
        <w:rPr>
          <w:rFonts w:ascii="Times New Roman" w:hAnsi="Times New Roman"/>
        </w:rPr>
        <w:t>among actors</w:t>
      </w:r>
      <w:r w:rsidR="00C22C10" w:rsidRPr="00A77BD5">
        <w:rPr>
          <w:rFonts w:ascii="Times New Roman" w:hAnsi="Times New Roman"/>
        </w:rPr>
        <w:t xml:space="preserve">. </w:t>
      </w:r>
    </w:p>
    <w:p w14:paraId="52E0911A" w14:textId="76694DE8" w:rsidR="008E2A2E" w:rsidRPr="00A77BD5" w:rsidRDefault="008E2A2E" w:rsidP="004F7552">
      <w:pPr>
        <w:pStyle w:val="NoSpacing"/>
        <w:spacing w:line="360" w:lineRule="auto"/>
        <w:ind w:firstLine="720"/>
        <w:rPr>
          <w:rFonts w:ascii="Times New Roman" w:hAnsi="Times New Roman"/>
        </w:rPr>
      </w:pPr>
      <w:r w:rsidRPr="00A77BD5">
        <w:rPr>
          <w:rFonts w:ascii="Times New Roman" w:hAnsi="Times New Roman"/>
        </w:rPr>
        <w:t xml:space="preserve">Hirschman was deeply suspicious of coherence, which is predicated on the notion of the social world as a neat social system. He believed that it was imperative to learn from </w:t>
      </w:r>
      <w:r w:rsidR="00B75564" w:rsidRPr="00A77BD5">
        <w:rPr>
          <w:rFonts w:ascii="Times New Roman" w:hAnsi="Times New Roman"/>
        </w:rPr>
        <w:t xml:space="preserve">small- and large-scale and parallel </w:t>
      </w:r>
      <w:r w:rsidR="005E1AC7" w:rsidRPr="00A77BD5">
        <w:rPr>
          <w:rFonts w:ascii="Times New Roman" w:hAnsi="Times New Roman"/>
        </w:rPr>
        <w:t>experimentation</w:t>
      </w:r>
      <w:r w:rsidR="001B1CEE" w:rsidRPr="00A77BD5">
        <w:rPr>
          <w:rFonts w:ascii="Times New Roman" w:hAnsi="Times New Roman"/>
        </w:rPr>
        <w:t>, gradual initiatives</w:t>
      </w:r>
      <w:r w:rsidR="00017A34" w:rsidRPr="00A77BD5">
        <w:rPr>
          <w:rFonts w:ascii="Times New Roman" w:hAnsi="Times New Roman"/>
        </w:rPr>
        <w:t>,</w:t>
      </w:r>
      <w:r w:rsidR="001B1CEE" w:rsidRPr="00A77BD5">
        <w:rPr>
          <w:rFonts w:ascii="Times New Roman" w:hAnsi="Times New Roman"/>
        </w:rPr>
        <w:t xml:space="preserve"> and </w:t>
      </w:r>
      <w:r w:rsidRPr="00A77BD5">
        <w:rPr>
          <w:rFonts w:ascii="Times New Roman" w:hAnsi="Times New Roman"/>
        </w:rPr>
        <w:t>multiple examples</w:t>
      </w:r>
      <w:r w:rsidR="00017A34" w:rsidRPr="00A77BD5">
        <w:rPr>
          <w:rFonts w:ascii="Times New Roman" w:hAnsi="Times New Roman"/>
        </w:rPr>
        <w:t>. He</w:t>
      </w:r>
      <w:r w:rsidRPr="00A77BD5">
        <w:rPr>
          <w:rFonts w:ascii="Times New Roman" w:hAnsi="Times New Roman"/>
        </w:rPr>
        <w:t xml:space="preserve"> </w:t>
      </w:r>
      <w:r w:rsidR="00017A34" w:rsidRPr="00A77BD5">
        <w:rPr>
          <w:rFonts w:ascii="Times New Roman" w:hAnsi="Times New Roman"/>
        </w:rPr>
        <w:t xml:space="preserve">emphasized </w:t>
      </w:r>
      <w:r w:rsidRPr="00A77BD5">
        <w:rPr>
          <w:rFonts w:ascii="Times New Roman" w:hAnsi="Times New Roman"/>
        </w:rPr>
        <w:t>uniqueness</w:t>
      </w:r>
      <w:r w:rsidR="00017A34" w:rsidRPr="00A77BD5">
        <w:rPr>
          <w:rFonts w:ascii="Times New Roman" w:hAnsi="Times New Roman"/>
        </w:rPr>
        <w:t xml:space="preserve"> of context</w:t>
      </w:r>
      <w:r w:rsidRPr="00A77BD5">
        <w:rPr>
          <w:rFonts w:ascii="Times New Roman" w:hAnsi="Times New Roman"/>
        </w:rPr>
        <w:t xml:space="preserve">, specificity, messiness of experiences, and the possibility of a great many </w:t>
      </w:r>
      <w:r w:rsidR="00017A34" w:rsidRPr="00A77BD5">
        <w:rPr>
          <w:rFonts w:ascii="Times New Roman" w:hAnsi="Times New Roman"/>
        </w:rPr>
        <w:t xml:space="preserve">possible development </w:t>
      </w:r>
      <w:r w:rsidRPr="00A77BD5">
        <w:rPr>
          <w:rFonts w:ascii="Times New Roman" w:hAnsi="Times New Roman"/>
        </w:rPr>
        <w:t xml:space="preserve">sequences </w:t>
      </w:r>
      <w:r w:rsidR="00891F56">
        <w:rPr>
          <w:rFonts w:ascii="Times New Roman" w:hAnsi="Times New Roman"/>
        </w:rPr>
        <w:fldChar w:fldCharType="begin">
          <w:fldData xml:space="preserve">PEVuZE5vdGU+PENpdGU+PEF1dGhvcj5IaXJzY2htYW48L0F1dGhvcj48WWVhcj4xOTY5WzE5NThd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</w:fldData>
        </w:fldChar>
      </w:r>
      <w:r w:rsidR="00891F56">
        <w:rPr>
          <w:rFonts w:ascii="Times New Roman" w:hAnsi="Times New Roman"/>
        </w:rPr>
        <w:instrText xml:space="preserve"> ADDIN EN.CITE </w:instrText>
      </w:r>
      <w:r w:rsidR="00891F56">
        <w:rPr>
          <w:rFonts w:ascii="Times New Roman" w:hAnsi="Times New Roman"/>
        </w:rPr>
        <w:fldChar w:fldCharType="begin">
          <w:fldData xml:space="preserve">PEVuZE5vdGU+PENpdGU+PEF1dGhvcj5IaXJzY2htYW48L0F1dGhvcj48WWVhcj4xOTY5WzE5NThd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</w:fldData>
        </w:fldChar>
      </w:r>
      <w:r w:rsidR="00891F56">
        <w:rPr>
          <w:rFonts w:ascii="Times New Roman" w:hAnsi="Times New Roman"/>
        </w:rPr>
        <w:instrText xml:space="preserve"> ADDIN EN.CITE.DATA </w:instrText>
      </w:r>
      <w:r w:rsidR="00891F56">
        <w:rPr>
          <w:rFonts w:ascii="Times New Roman" w:hAnsi="Times New Roman"/>
        </w:rPr>
      </w:r>
      <w:r w:rsidR="00891F56">
        <w:rPr>
          <w:rFonts w:ascii="Times New Roman" w:hAnsi="Times New Roman"/>
        </w:rPr>
        <w:fldChar w:fldCharType="end"/>
      </w:r>
      <w:r w:rsidR="00891F56">
        <w:rPr>
          <w:rFonts w:ascii="Times New Roman" w:hAnsi="Times New Roman"/>
        </w:rPr>
      </w:r>
      <w:r w:rsidR="00891F56">
        <w:rPr>
          <w:rFonts w:ascii="Times New Roman" w:hAnsi="Times New Roman"/>
        </w:rPr>
        <w:fldChar w:fldCharType="separate"/>
      </w:r>
      <w:r w:rsidR="00891F56">
        <w:rPr>
          <w:rFonts w:ascii="Times New Roman" w:hAnsi="Times New Roman"/>
          <w:noProof/>
        </w:rPr>
        <w:t>(Hirschman 1969[1958], 2013[1971], cf. Ellerman 2005, 163-65,234-39, Rodrik 2007, ch. 2)</w:t>
      </w:r>
      <w:r w:rsidR="00891F56">
        <w:rPr>
          <w:rFonts w:ascii="Times New Roman" w:hAnsi="Times New Roman"/>
        </w:rPr>
        <w:fldChar w:fldCharType="end"/>
      </w:r>
      <w:r w:rsidR="00E61897" w:rsidRPr="00A77BD5">
        <w:rPr>
          <w:rFonts w:ascii="Times New Roman" w:hAnsi="Times New Roman"/>
        </w:rPr>
        <w:t>.</w:t>
      </w:r>
      <w:r w:rsidRPr="00A77BD5">
        <w:rPr>
          <w:rFonts w:ascii="Times New Roman" w:hAnsi="Times New Roman"/>
        </w:rPr>
        <w:t xml:space="preserve"> </w:t>
      </w:r>
      <w:r w:rsidR="003B697F" w:rsidRPr="00A77BD5">
        <w:rPr>
          <w:rFonts w:ascii="Times New Roman" w:hAnsi="Times New Roman"/>
          <w:iCs/>
        </w:rPr>
        <w:t xml:space="preserve">No one made a case for the value of experimentation, heterogeneity, and </w:t>
      </w:r>
      <w:r w:rsidR="003B697F" w:rsidRPr="00A77BD5">
        <w:rPr>
          <w:rFonts w:ascii="Times New Roman" w:hAnsi="Times New Roman"/>
        </w:rPr>
        <w:t xml:space="preserve">what </w:t>
      </w:r>
      <w:r w:rsidR="00891F56">
        <w:rPr>
          <w:rFonts w:ascii="Times New Roman" w:hAnsi="Times New Roman"/>
        </w:rPr>
        <w:fldChar w:fldCharType="begin"/>
      </w:r>
      <w:r w:rsidR="00891F56">
        <w:rPr>
          <w:rFonts w:ascii="Times New Roman" w:hAnsi="Times New Roman"/>
        </w:rPr>
        <w:instrText xml:space="preserve"> ADDIN EN.CITE &lt;EndNote&gt;&lt;Cite AuthorYear="1"&gt;&lt;Author&gt;Lindblom&lt;/Author&gt;&lt;Year&gt;1959&lt;/Year&gt;&lt;RecNum&gt;547&lt;/RecNum&gt;&lt;DisplayText&gt;Lindblom (1959)&lt;/DisplayText&gt;&lt;record&gt;&lt;rec-number&gt;547&lt;/rec-number&gt;&lt;foreign-keys&gt;&lt;key app="EN" db-id="x2xf5e95kefpz8e59fcx5psgerr9wepetvet" timestamp="1427673067"&gt;547&lt;/key&gt;&lt;/foreign-keys&gt;&lt;ref-type name="Journal Article"&gt;17&lt;/ref-type&gt;&lt;contributors&gt;&lt;authors&gt;&lt;author&gt;Lindblom, Charles&lt;/author&gt;&lt;/authors&gt;&lt;/contributors&gt;&lt;titles&gt;&lt;title&gt;The Science of &amp;apos;Muddling Through&amp;apos;&lt;/title&gt;&lt;secondary-title&gt;Public Administration Review&lt;/secondary-title&gt;&lt;/titles&gt;&lt;periodical&gt;&lt;full-title&gt;Public Administration Review&lt;/full-title&gt;&lt;/periodical&gt;&lt;pages&gt;79-88&lt;/pages&gt;&lt;volume&gt;19&lt;/volume&gt;&lt;number&gt;2&lt;/number&gt;&lt;dates&gt;&lt;year&gt;1959&lt;/year&gt;&lt;/dates&gt;&lt;urls&gt;&lt;/urls&gt;&lt;/record&gt;&lt;/Cite&gt;&lt;/EndNote&gt;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Lindblom (1959)</w:t>
      </w:r>
      <w:r w:rsidR="00891F56">
        <w:rPr>
          <w:rFonts w:ascii="Times New Roman" w:hAnsi="Times New Roman"/>
        </w:rPr>
        <w:fldChar w:fldCharType="end"/>
      </w:r>
      <w:r w:rsidR="003B697F" w:rsidRPr="00A77BD5">
        <w:rPr>
          <w:rFonts w:ascii="Times New Roman" w:hAnsi="Times New Roman"/>
        </w:rPr>
        <w:t xml:space="preserve"> termed ‘muddling through’ </w:t>
      </w:r>
      <w:r w:rsidR="003B697F" w:rsidRPr="00A77BD5">
        <w:rPr>
          <w:rFonts w:ascii="Times New Roman" w:hAnsi="Times New Roman"/>
          <w:iCs/>
        </w:rPr>
        <w:t xml:space="preserve">more effectively than Hirschman. </w:t>
      </w:r>
      <w:r w:rsidR="003B697F" w:rsidRPr="00A77BD5">
        <w:rPr>
          <w:rFonts w:ascii="Times New Roman" w:hAnsi="Times New Roman"/>
        </w:rPr>
        <w:t>Hirschman’s commitments often led him to embrace the diminutive</w:t>
      </w:r>
      <w:r w:rsidR="0031402C" w:rsidRPr="00A77BD5">
        <w:rPr>
          <w:rFonts w:ascii="Times New Roman" w:hAnsi="Times New Roman"/>
        </w:rPr>
        <w:t xml:space="preserve"> (which</w:t>
      </w:r>
      <w:r w:rsidR="00A25592">
        <w:rPr>
          <w:rFonts w:ascii="Times New Roman" w:hAnsi="Times New Roman"/>
        </w:rPr>
        <w:t xml:space="preserve"> he termed ‘</w:t>
      </w:r>
      <w:r w:rsidR="003B697F" w:rsidRPr="00A77BD5">
        <w:rPr>
          <w:rFonts w:ascii="Times New Roman" w:hAnsi="Times New Roman"/>
        </w:rPr>
        <w:t xml:space="preserve">the dynamics of the development process </w:t>
      </w:r>
      <w:r w:rsidR="003B697F" w:rsidRPr="00A77BD5">
        <w:rPr>
          <w:rFonts w:ascii="Times New Roman" w:hAnsi="Times New Roman"/>
          <w:i/>
        </w:rPr>
        <w:t>in the small</w:t>
      </w:r>
      <w:r w:rsidR="00A25592">
        <w:rPr>
          <w:rFonts w:ascii="Times New Roman" w:hAnsi="Times New Roman"/>
          <w:i/>
        </w:rPr>
        <w:t>’</w:t>
      </w:r>
      <w:r w:rsidR="002F3BC4" w:rsidRPr="00A77BD5">
        <w:rPr>
          <w:rFonts w:ascii="Times New Roman" w:hAnsi="Times New Roman"/>
        </w:rPr>
        <w:t>)</w:t>
      </w:r>
      <w:r w:rsidR="003B697F" w:rsidRPr="00A77BD5">
        <w:rPr>
          <w:rFonts w:ascii="Times New Roman" w:hAnsi="Times New Roman"/>
        </w:rPr>
        <w:t xml:space="preserve"> as potential building blocks of meaningful, path-dependent reform and widespread change </w:t>
      </w:r>
      <w:r w:rsidR="00891F56">
        <w:rPr>
          <w:rFonts w:ascii="Times New Roman" w:hAnsi="Times New Roman"/>
        </w:rPr>
        <w:fldChar w:fldCharType="begin"/>
      </w:r>
      <w:r w:rsidR="00891F56">
        <w:rPr>
          <w:rFonts w:ascii="Times New Roman" w:hAnsi="Times New Roman"/>
        </w:rPr>
        <w:instrText xml:space="preserve"> ADDIN EN.CITE &lt;EndNote&gt;&lt;Cite&gt;&lt;Author&gt;Hirschman&lt;/Author&gt;&lt;Year&gt;1969[1958]&lt;/Year&gt;&lt;RecNum&gt;537&lt;/RecNum&gt;&lt;Suffix&gt;`, emphasis in original&lt;/Suffix&gt;&lt;Pages&gt;ix&lt;/Pages&gt;&lt;DisplayText&gt;(Hirschman 1969[1958], ix, emphasis in original)&lt;/DisplayText&gt;&lt;record&gt;&lt;rec-number&gt;537&lt;/rec-number&gt;&lt;foreign-keys&gt;&lt;key app="EN" db-id="x2xf5e95kefpz8e59fcx5psgerr9wepetvet" timestamp="1427661778"&gt;537&lt;/key&gt;&lt;/foreign-keys&gt;&lt;ref-type name="Book"&gt;6&lt;/ref-type&gt;&lt;contributors&gt;&lt;authors&gt;&lt;author&gt;Hirschman, Albert O.&lt;/author&gt;&lt;/authors&gt;&lt;/contributors&gt;&lt;titles&gt;&lt;title&gt;The Strategy of Economic Development&lt;/title&gt;&lt;/titles&gt;&lt;dates&gt;&lt;year&gt;1969[1958]&lt;/year&gt;&lt;/dates&gt;&lt;pub-location&gt;New Haven, CT&lt;/pub-location&gt;&lt;publisher&gt;Yale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(Hirschman 1969[1958], ix, emphasis in original)</w:t>
      </w:r>
      <w:r w:rsidR="00891F56">
        <w:rPr>
          <w:rFonts w:ascii="Times New Roman" w:hAnsi="Times New Roman"/>
        </w:rPr>
        <w:fldChar w:fldCharType="end"/>
      </w:r>
      <w:r w:rsidR="003B697F" w:rsidRPr="00A77BD5">
        <w:rPr>
          <w:rFonts w:ascii="Times New Roman" w:hAnsi="Times New Roman"/>
        </w:rPr>
        <w:t xml:space="preserve">. </w:t>
      </w:r>
      <w:r w:rsidR="00104345" w:rsidRPr="00A77BD5">
        <w:rPr>
          <w:rFonts w:ascii="Times New Roman" w:hAnsi="Times New Roman"/>
        </w:rPr>
        <w:t xml:space="preserve">That said, </w:t>
      </w:r>
      <w:r w:rsidR="003B697F" w:rsidRPr="00A77BD5">
        <w:rPr>
          <w:rFonts w:ascii="Times New Roman" w:hAnsi="Times New Roman"/>
        </w:rPr>
        <w:t>Hi</w:t>
      </w:r>
      <w:r w:rsidR="0099747A" w:rsidRPr="00A77BD5">
        <w:rPr>
          <w:rFonts w:ascii="Times New Roman" w:hAnsi="Times New Roman"/>
        </w:rPr>
        <w:t xml:space="preserve">rschman </w:t>
      </w:r>
      <w:r w:rsidR="00104345" w:rsidRPr="00A77BD5">
        <w:rPr>
          <w:rFonts w:ascii="Times New Roman" w:hAnsi="Times New Roman"/>
        </w:rPr>
        <w:t xml:space="preserve">by no means </w:t>
      </w:r>
      <w:r w:rsidR="0099747A" w:rsidRPr="00A77BD5">
        <w:rPr>
          <w:rFonts w:ascii="Times New Roman" w:hAnsi="Times New Roman"/>
        </w:rPr>
        <w:t>suggest</w:t>
      </w:r>
      <w:r w:rsidR="00104345" w:rsidRPr="00A77BD5">
        <w:rPr>
          <w:rFonts w:ascii="Times New Roman" w:hAnsi="Times New Roman"/>
        </w:rPr>
        <w:t>ed</w:t>
      </w:r>
      <w:r w:rsidR="0099747A" w:rsidRPr="00A77BD5">
        <w:rPr>
          <w:rFonts w:ascii="Times New Roman" w:hAnsi="Times New Roman"/>
        </w:rPr>
        <w:t xml:space="preserve"> the irrelevance of </w:t>
      </w:r>
      <w:r w:rsidR="003B697F" w:rsidRPr="00A77BD5">
        <w:rPr>
          <w:rFonts w:ascii="Times New Roman" w:hAnsi="Times New Roman"/>
        </w:rPr>
        <w:t>large</w:t>
      </w:r>
      <w:r w:rsidR="00104345" w:rsidRPr="00A77BD5">
        <w:rPr>
          <w:rFonts w:ascii="Times New Roman" w:hAnsi="Times New Roman"/>
        </w:rPr>
        <w:t>-</w:t>
      </w:r>
      <w:r w:rsidR="003B697F" w:rsidRPr="00A77BD5">
        <w:rPr>
          <w:rFonts w:ascii="Times New Roman" w:hAnsi="Times New Roman"/>
        </w:rPr>
        <w:t xml:space="preserve">scale initiatives. That large countries, actors, or institutions have agenda shaping abilities is obvious (as the case of China makes clear). Hirschman had much to say about both large and small actors. For instance, he wrote of power asymmetries in international trade </w:t>
      </w:r>
      <w:r w:rsidR="00891F56">
        <w:rPr>
          <w:rFonts w:ascii="Times New Roman" w:hAnsi="Times New Roman"/>
        </w:rPr>
        <w:fldChar w:fldCharType="begin"/>
      </w:r>
      <w:r w:rsidR="00891F56">
        <w:rPr>
          <w:rFonts w:ascii="Times New Roman" w:hAnsi="Times New Roman"/>
        </w:rPr>
        <w:instrText xml:space="preserve"> ADDIN EN.CITE &lt;EndNote&gt;&lt;Cite&gt;&lt;Author&gt;Hirschman&lt;/Author&gt;&lt;Year&gt;1980[1945]&lt;/Year&gt;&lt;RecNum&gt;488&lt;/RecNum&gt;&lt;DisplayText&gt;(Hirschman 1980[1945])&lt;/DisplayText&gt;&lt;record&gt;&lt;rec-number&gt;488&lt;/rec-number&gt;&lt;foreign-keys&gt;&lt;key app="EN" db-id="x2xf5e95kefpz8e59fcx5psgerr9wepetvet" timestamp="1407270937"&gt;488&lt;/key&gt;&lt;/foreign-keys&gt;&lt;ref-type name="Book"&gt;6&lt;/ref-type&gt;&lt;contributors&gt;&lt;authors&gt;&lt;author&gt;Hirschman, Albert O.&lt;/author&gt;&lt;/authors&gt;&lt;/contributors&gt;&lt;titles&gt;&lt;title&gt;National Power and the Structure of Foreign Trade&lt;/title&gt;&lt;/titles&gt;&lt;dates&gt;&lt;year&gt;1980[1945]&lt;/year&gt;&lt;/dates&gt;&lt;pub-location&gt;v-xii, Berkeley&lt;/pub-location&gt;&lt;publisher&gt;University of California Press&lt;/publisher&gt;&lt;work-type&gt;Preface to the Expanded Paperback Edition&lt;/work-type&gt;&lt;urls&gt;&lt;/urls&gt;&lt;/record&gt;&lt;/Cite&gt;&lt;/EndNote&gt;</w:instrText>
      </w:r>
      <w:r w:rsidR="00891F56">
        <w:rPr>
          <w:rFonts w:ascii="Times New Roman" w:hAnsi="Times New Roman"/>
        </w:rPr>
        <w:fldChar w:fldCharType="separate"/>
      </w:r>
      <w:r w:rsidR="00891F56">
        <w:rPr>
          <w:rFonts w:ascii="Times New Roman" w:hAnsi="Times New Roman"/>
          <w:noProof/>
        </w:rPr>
        <w:t>(Hirschman 1980[1945])</w:t>
      </w:r>
      <w:r w:rsidR="00891F56">
        <w:rPr>
          <w:rFonts w:ascii="Times New Roman" w:hAnsi="Times New Roman"/>
        </w:rPr>
        <w:fldChar w:fldCharType="end"/>
      </w:r>
      <w:r w:rsidR="0021606D" w:rsidRPr="00A77BD5">
        <w:rPr>
          <w:rFonts w:ascii="Times New Roman" w:hAnsi="Times New Roman"/>
        </w:rPr>
        <w:t xml:space="preserve">; </w:t>
      </w:r>
      <w:r w:rsidR="003B697F" w:rsidRPr="00A77BD5">
        <w:rPr>
          <w:rFonts w:ascii="Times New Roman" w:hAnsi="Times New Roman"/>
        </w:rPr>
        <w:t xml:space="preserve">the </w:t>
      </w:r>
      <w:r w:rsidR="0021606D" w:rsidRPr="00A77BD5">
        <w:rPr>
          <w:rFonts w:ascii="Times New Roman" w:hAnsi="Times New Roman"/>
        </w:rPr>
        <w:t xml:space="preserve">diverse </w:t>
      </w:r>
      <w:r w:rsidR="003B697F" w:rsidRPr="00A77BD5">
        <w:rPr>
          <w:rFonts w:ascii="Times New Roman" w:hAnsi="Times New Roman"/>
        </w:rPr>
        <w:t>linkages and side effects associated with large</w:t>
      </w:r>
      <w:r w:rsidR="001A3444" w:rsidRPr="00A77BD5">
        <w:rPr>
          <w:rFonts w:ascii="Times New Roman" w:hAnsi="Times New Roman"/>
        </w:rPr>
        <w:t>-</w:t>
      </w:r>
      <w:r w:rsidR="003B697F" w:rsidRPr="00A77BD5">
        <w:rPr>
          <w:rFonts w:ascii="Times New Roman" w:hAnsi="Times New Roman"/>
        </w:rPr>
        <w:t xml:space="preserve">scale initiatives, such as highways versus railways </w:t>
      </w:r>
      <w:r w:rsidR="00891F56">
        <w:rPr>
          <w:rFonts w:ascii="Times New Roman" w:hAnsi="Times New Roman"/>
        </w:rPr>
        <w:fldChar w:fldCharType="begin"/>
      </w:r>
      <w:r w:rsidR="00891F56">
        <w:rPr>
          <w:rFonts w:ascii="Times New Roman" w:hAnsi="Times New Roman"/>
        </w:rPr>
        <w:instrText xml:space="preserve"> ADDIN EN.CITE &lt;EndNote&gt;&lt;Cite&gt;&lt;Author&gt;Hirschman&lt;/Author&gt;&lt;Year&gt;1967&lt;/Year&gt;&lt;RecNum&gt;1277&lt;/RecNum&gt;&lt;DisplayText&gt;(Hirschman 1967)&lt;/DisplayText&gt;&lt;record&gt;&lt;rec-number&gt;1277&lt;/rec-number&gt;&lt;foreign-keys&gt;&lt;key app="EN" db-id="x2xf5e95kefpz8e59fcx5psgerr9wepetvet" timestamp="1432872019"&gt;1277&lt;/key&gt;&lt;/foreign-keys&gt;&lt;ref-type name="Book"&gt;6&lt;/ref-type&gt;&lt;contributors&gt;&lt;authors&gt;&lt;author&gt;Hirschman, Albert O.&lt;/author&gt;&lt;/authors&gt;&lt;/contributors&gt;&lt;titles&gt;&lt;title&gt;Development Projects Observed&lt;/title&gt;&lt;/titles&gt;&lt;dates&gt;&lt;year&gt;1967&lt;/year&gt;&lt;/dates&gt;&lt;pub-location&gt;Washington, DC&lt;/pub-location&gt;&lt;publisher&gt;Brookings Institution&lt;/publisher&gt;&lt;urls&gt;&lt;/urls&gt;&lt;/record&gt;&lt;/Cite&gt;&lt;/EndNote&gt;</w:instrText>
      </w:r>
      <w:r w:rsidR="00891F56">
        <w:rPr>
          <w:rFonts w:ascii="Times New Roman" w:hAnsi="Times New Roman"/>
        </w:rPr>
        <w:fldChar w:fldCharType="separate"/>
      </w:r>
      <w:r w:rsidR="00891F56">
        <w:rPr>
          <w:rFonts w:ascii="Times New Roman" w:hAnsi="Times New Roman"/>
          <w:noProof/>
        </w:rPr>
        <w:t>(Hirschman 1967)</w:t>
      </w:r>
      <w:r w:rsidR="00891F56">
        <w:rPr>
          <w:rFonts w:ascii="Times New Roman" w:hAnsi="Times New Roman"/>
        </w:rPr>
        <w:fldChar w:fldCharType="end"/>
      </w:r>
      <w:r w:rsidR="0021606D" w:rsidRPr="00A77BD5">
        <w:rPr>
          <w:rFonts w:ascii="Times New Roman" w:hAnsi="Times New Roman"/>
        </w:rPr>
        <w:t>; and</w:t>
      </w:r>
      <w:r w:rsidR="003B697F" w:rsidRPr="00A77BD5">
        <w:rPr>
          <w:rFonts w:ascii="Times New Roman" w:hAnsi="Times New Roman"/>
        </w:rPr>
        <w:t xml:space="preserve"> disparate capacities to exercise exit and voice by large versus small actors. Hirsc</w:t>
      </w:r>
      <w:r w:rsidR="003614ED">
        <w:rPr>
          <w:rFonts w:ascii="Times New Roman" w:hAnsi="Times New Roman"/>
        </w:rPr>
        <w:t>hman’s radical insight is that ‘the small’</w:t>
      </w:r>
      <w:r w:rsidR="003B697F" w:rsidRPr="00A77BD5">
        <w:rPr>
          <w:rFonts w:ascii="Times New Roman" w:hAnsi="Times New Roman"/>
        </w:rPr>
        <w:t xml:space="preserve"> matters, too</w:t>
      </w:r>
      <w:r w:rsidR="001A3444" w:rsidRPr="00A77BD5">
        <w:rPr>
          <w:rFonts w:ascii="Times New Roman" w:hAnsi="Times New Roman"/>
        </w:rPr>
        <w:t xml:space="preserve">. We return to this matter in </w:t>
      </w:r>
      <w:r w:rsidR="003B697F" w:rsidRPr="00A77BD5">
        <w:rPr>
          <w:rFonts w:ascii="Times New Roman" w:hAnsi="Times New Roman"/>
        </w:rPr>
        <w:t>the</w:t>
      </w:r>
      <w:r w:rsidR="003F076D" w:rsidRPr="00A77BD5">
        <w:rPr>
          <w:rFonts w:ascii="Times New Roman" w:hAnsi="Times New Roman"/>
        </w:rPr>
        <w:t xml:space="preserve"> discussion of some </w:t>
      </w:r>
      <w:r w:rsidR="003B697F" w:rsidRPr="00A77BD5">
        <w:rPr>
          <w:rFonts w:ascii="Times New Roman" w:hAnsi="Times New Roman"/>
        </w:rPr>
        <w:t>institutions below.</w:t>
      </w:r>
    </w:p>
    <w:p w14:paraId="0C2B756E" w14:textId="53B1D706" w:rsidR="008E2A2E" w:rsidRPr="00A77BD5" w:rsidRDefault="008E2A2E" w:rsidP="004F7552">
      <w:pPr>
        <w:spacing w:line="360" w:lineRule="auto"/>
        <w:ind w:firstLine="720"/>
        <w:rPr>
          <w:rFonts w:ascii="Times New Roman" w:hAnsi="Times New Roman"/>
          <w:i/>
        </w:rPr>
      </w:pPr>
      <w:r w:rsidRPr="00A77BD5">
        <w:rPr>
          <w:rFonts w:ascii="Times New Roman" w:hAnsi="Times New Roman"/>
          <w:iCs/>
        </w:rPr>
        <w:t>Hirschman’s epistemic and normative views informed his complex understanding of change and development. He rejected the tendency that often leads analysts to pass judgment ex ante on the significance of particular innovations, and the related tende</w:t>
      </w:r>
      <w:r w:rsidR="003614ED">
        <w:rPr>
          <w:rFonts w:ascii="Times New Roman" w:hAnsi="Times New Roman"/>
          <w:iCs/>
        </w:rPr>
        <w:t>ncy to define change as either ‘fundamental’ or ‘</w:t>
      </w:r>
      <w:r w:rsidRPr="00A77BD5">
        <w:rPr>
          <w:rFonts w:ascii="Times New Roman" w:hAnsi="Times New Roman"/>
          <w:iCs/>
        </w:rPr>
        <w:t>sup</w:t>
      </w:r>
      <w:r w:rsidR="003614ED">
        <w:rPr>
          <w:rFonts w:ascii="Times New Roman" w:hAnsi="Times New Roman"/>
          <w:iCs/>
        </w:rPr>
        <w:t>erficial’</w:t>
      </w:r>
      <w:r w:rsidRPr="00A77BD5">
        <w:rPr>
          <w:rFonts w:ascii="Times New Roman" w:hAnsi="Times New Roman"/>
          <w:iCs/>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&lt;EndNote&gt;&lt;Cite&gt;&lt;Author&gt;Hirschman&lt;/Author&gt;&lt;Year&gt;2013[1968]&lt;/Year&gt;&lt;RecNum&gt;546&lt;/RecNum&gt;&lt;Pages&gt;37&lt;/Pages&gt;&lt;DisplayText&gt;(Hirschman 2013[1968], 37)&lt;/DisplayText&gt;&lt;record&gt;&lt;rec-number&gt;546&lt;/rec-number&gt;&lt;foreign-keys&gt;&lt;key app="EN" db-id="x2xf5e95kefpz8e59fcx5psgerr9wepetvet" timestamp="1427672610"&gt;546&lt;/key&gt;&lt;/foreign-keys&gt;&lt;ref-type name="Book Section"&gt;5&lt;/ref-type&gt;&lt;contributors&gt;&lt;authors&gt;&lt;author&gt;Hirschman, Albert O.&lt;/author&gt;&lt;/authors&gt;&lt;secondary-authors&gt;&lt;author&gt;Adelman, Jeremy&lt;/author&gt;&lt;/secondary-authors&gt;&lt;/contributors&gt;&lt;titles&gt;&lt;title&gt;Underdevelopment, Obstacles to the Perception of Change, and Leadership&lt;/title&gt;&lt;secondary-title&gt;The Essential Hirschman&lt;/secondary-title&gt;&lt;/titles&gt;&lt;pages&gt;35-48&lt;/pages&gt;&lt;dates&gt;&lt;year&gt;2013[1968]&lt;/year&gt;&lt;/dates&gt;&lt;pub-location&gt;Princeton, NJ&lt;/pub-location&gt;&lt;publisher&gt;Princeton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(Hirschman 2013[1968], 37)</w:t>
      </w:r>
      <w:r w:rsidR="00891F56">
        <w:rPr>
          <w:rFonts w:ascii="Times New Roman" w:hAnsi="Times New Roman"/>
        </w:rPr>
        <w:fldChar w:fldCharType="end"/>
      </w:r>
      <w:r w:rsidRPr="00A77BD5">
        <w:rPr>
          <w:rFonts w:ascii="Times New Roman" w:hAnsi="Times New Roman"/>
        </w:rPr>
        <w:t>.</w:t>
      </w:r>
      <w:r w:rsidRPr="00A77BD5">
        <w:rPr>
          <w:rFonts w:ascii="Times New Roman" w:hAnsi="Times New Roman"/>
          <w:iCs/>
        </w:rPr>
        <w:t xml:space="preserve"> Much work in the continuity tradition takes this approach when, for example, discussing </w:t>
      </w:r>
      <w:r w:rsidR="0011510A" w:rsidRPr="00A77BD5">
        <w:rPr>
          <w:rFonts w:ascii="Times New Roman" w:hAnsi="Times New Roman"/>
          <w:iCs/>
        </w:rPr>
        <w:t xml:space="preserve">BRICS </w:t>
      </w:r>
      <w:r w:rsidRPr="00A77BD5">
        <w:rPr>
          <w:rFonts w:ascii="Times New Roman" w:hAnsi="Times New Roman"/>
          <w:iCs/>
        </w:rPr>
        <w:t>initiatives. Hirschman despaired of the skeptical mindset that needs to dismiss most changes as superficial, a tendency that</w:t>
      </w:r>
      <w:r w:rsidR="003614ED">
        <w:rPr>
          <w:rFonts w:ascii="Times New Roman" w:hAnsi="Times New Roman"/>
          <w:iCs/>
        </w:rPr>
        <w:t xml:space="preserve"> reflected both what he termed ‘</w:t>
      </w:r>
      <w:proofErr w:type="spellStart"/>
      <w:r w:rsidR="003614ED">
        <w:rPr>
          <w:rFonts w:ascii="Times New Roman" w:hAnsi="Times New Roman"/>
          <w:iCs/>
        </w:rPr>
        <w:t>futilism</w:t>
      </w:r>
      <w:proofErr w:type="spellEnd"/>
      <w:r w:rsidR="003614ED">
        <w:rPr>
          <w:rFonts w:ascii="Times New Roman" w:hAnsi="Times New Roman"/>
          <w:iCs/>
        </w:rPr>
        <w:t>’</w:t>
      </w:r>
      <w:r w:rsidRPr="00A77BD5">
        <w:rPr>
          <w:rFonts w:ascii="Times New Roman" w:hAnsi="Times New Roman"/>
          <w:iCs/>
        </w:rPr>
        <w:t xml:space="preserve"> and epistemic cer</w:t>
      </w:r>
      <w:r w:rsidR="003614ED">
        <w:rPr>
          <w:rFonts w:ascii="Times New Roman" w:hAnsi="Times New Roman"/>
          <w:iCs/>
        </w:rPr>
        <w:t xml:space="preserve">tainty. Hirschman </w:t>
      </w:r>
      <w:proofErr w:type="spellStart"/>
      <w:r w:rsidR="003614ED">
        <w:rPr>
          <w:rFonts w:ascii="Times New Roman" w:hAnsi="Times New Roman"/>
          <w:iCs/>
        </w:rPr>
        <w:t>counterposed</w:t>
      </w:r>
      <w:proofErr w:type="spellEnd"/>
      <w:r w:rsidR="003614ED">
        <w:rPr>
          <w:rFonts w:ascii="Times New Roman" w:hAnsi="Times New Roman"/>
          <w:iCs/>
        </w:rPr>
        <w:t xml:space="preserve"> ‘</w:t>
      </w:r>
      <w:proofErr w:type="spellStart"/>
      <w:r w:rsidR="003614ED">
        <w:rPr>
          <w:rFonts w:ascii="Times New Roman" w:hAnsi="Times New Roman"/>
          <w:iCs/>
        </w:rPr>
        <w:t>possibilism</w:t>
      </w:r>
      <w:proofErr w:type="spellEnd"/>
      <w:r w:rsidR="003614ED">
        <w:rPr>
          <w:rFonts w:ascii="Times New Roman" w:hAnsi="Times New Roman"/>
          <w:iCs/>
        </w:rPr>
        <w:t>’</w:t>
      </w:r>
      <w:r w:rsidRPr="00A77BD5">
        <w:rPr>
          <w:rFonts w:ascii="Times New Roman" w:hAnsi="Times New Roman"/>
          <w:iCs/>
        </w:rPr>
        <w:t xml:space="preserve"> to the predominant </w:t>
      </w:r>
      <w:proofErr w:type="spellStart"/>
      <w:r w:rsidRPr="00A77BD5">
        <w:rPr>
          <w:rFonts w:ascii="Times New Roman" w:hAnsi="Times New Roman"/>
          <w:iCs/>
        </w:rPr>
        <w:t>futilism</w:t>
      </w:r>
      <w:proofErr w:type="spellEnd"/>
      <w:r w:rsidRPr="00A77BD5">
        <w:rPr>
          <w:rFonts w:ascii="Times New Roman" w:hAnsi="Times New Roman"/>
          <w:iCs/>
        </w:rPr>
        <w:t xml:space="preserve">—the view that any initiatives that were not entirely consistent with the precepts of a grand theory or which were not themselves all encompassing were bound to fail </w:t>
      </w:r>
      <w:r w:rsidR="00891F56">
        <w:rPr>
          <w:rFonts w:ascii="Times New Roman" w:hAnsi="Times New Roman"/>
          <w:iCs/>
        </w:rPr>
        <w:fldChar w:fldCharType="begin"/>
      </w:r>
      <w:r w:rsidR="00891F56">
        <w:rPr>
          <w:rFonts w:ascii="Times New Roman" w:hAnsi="Times New Roman"/>
          <w:iCs/>
        </w:rPr>
        <w:instrText xml:space="preserve"> ADDIN EN.CITE &lt;EndNote&gt;&lt;Cite&gt;&lt;Author&gt;Hirschman&lt;/Author&gt;&lt;Year&gt;2013[1971]&lt;/Year&gt;&lt;RecNum&gt;549&lt;/RecNum&gt;&lt;DisplayText&gt;(Hirschman 2013[1971])&lt;/DisplayText&gt;&lt;record&gt;&lt;rec-number&gt;549&lt;/rec-number&gt;&lt;foreign-keys&gt;&lt;key app="EN" db-id="x2xf5e95kefpz8e59fcx5psgerr9wepetvet" timestamp="1427674194"&gt;549&lt;/key&gt;&lt;/foreign-keys&gt;&lt;ref-type name="Book Section"&gt;5&lt;/ref-type&gt;&lt;contributors&gt;&lt;authors&gt;&lt;author&gt;Hirschman, Albert O.&lt;/author&gt;&lt;/authors&gt;&lt;secondary-authors&gt;&lt;author&gt;Adelman, Jeremy&lt;/author&gt;&lt;/secondary-authors&gt;&lt;/contributors&gt;&lt;titles&gt;&lt;title&gt;Political Economics and Possibilism&lt;/title&gt;&lt;secondary-title&gt;The Essential Hirschman&lt;/secondary-title&gt;&lt;/titles&gt;&lt;pages&gt;1-34&lt;/pages&gt;&lt;dates&gt;&lt;year&gt;2013[1971]&lt;/year&gt;&lt;/dates&gt;&lt;pub-location&gt;Princeton, NJ&lt;/pub-location&gt;&lt;publisher&gt;Princeton University Press&lt;/publisher&gt;&lt;urls&gt;&lt;/urls&gt;&lt;/record&gt;&lt;/Cite&gt;&lt;/EndNote&gt;</w:instrText>
      </w:r>
      <w:r w:rsidR="00891F56">
        <w:rPr>
          <w:rFonts w:ascii="Times New Roman" w:hAnsi="Times New Roman"/>
          <w:iCs/>
        </w:rPr>
        <w:fldChar w:fldCharType="separate"/>
      </w:r>
      <w:r w:rsidR="00891F56">
        <w:rPr>
          <w:rFonts w:ascii="Times New Roman" w:hAnsi="Times New Roman"/>
          <w:iCs/>
          <w:noProof/>
        </w:rPr>
        <w:t>(Hirschman 2013[1971])</w:t>
      </w:r>
      <w:r w:rsidR="00891F56">
        <w:rPr>
          <w:rFonts w:ascii="Times New Roman" w:hAnsi="Times New Roman"/>
          <w:iCs/>
        </w:rPr>
        <w:fldChar w:fldCharType="end"/>
      </w:r>
      <w:r w:rsidRPr="00A77BD5">
        <w:rPr>
          <w:rFonts w:ascii="Times New Roman" w:hAnsi="Times New Roman"/>
          <w:iCs/>
        </w:rPr>
        <w:t xml:space="preserve">. </w:t>
      </w:r>
    </w:p>
    <w:p w14:paraId="37E3EDDA" w14:textId="17A564B6" w:rsidR="008E2A2E" w:rsidRPr="00A77BD5" w:rsidRDefault="008E2A2E" w:rsidP="004F7552">
      <w:pPr>
        <w:spacing w:line="360" w:lineRule="auto"/>
        <w:ind w:firstLine="720"/>
        <w:rPr>
          <w:rFonts w:ascii="Times New Roman" w:hAnsi="Times New Roman"/>
        </w:rPr>
      </w:pPr>
      <w:r w:rsidRPr="00A77BD5">
        <w:rPr>
          <w:rFonts w:ascii="Times New Roman" w:hAnsi="Times New Roman"/>
        </w:rPr>
        <w:t xml:space="preserve">Hirschman’s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ExcludeAuth="1"&gt;&lt;Author&gt;Hirschman&lt;/Author&gt;&lt;Year&gt;1970&lt;/Year&gt;&lt;RecNum&gt;494&lt;/RecNum&gt;&lt;DisplayText&gt;(1970)&lt;/DisplayText&gt;&lt;record&gt;&lt;rec-number&gt;494&lt;/rec-number&gt;&lt;foreign-keys&gt;&lt;key app="EN" db-id="x2xf5e95kefpz8e59fcx5psgerr9wepetvet" timestamp="1407355919"&gt;494&lt;/key&gt;&lt;/foreign-keys&gt;&lt;ref-type name="Book"&gt;6&lt;/ref-type&gt;&lt;contributors&gt;&lt;authors&gt;&lt;author&gt;Hirschman, Albert O.&lt;/author&gt;&lt;/authors&gt;&lt;/contributors&gt;&lt;titles&gt;&lt;title&gt;Exit, Voice, and Loyalty: Responses to Decline in Firms, Organizations and States&lt;/title&gt;&lt;/titles&gt;&lt;dates&gt;&lt;year&gt;1970&lt;/year&gt;&lt;/dates&gt;&lt;pub-location&gt;Cambridge, MA&lt;/pub-location&gt;&lt;publisher&gt;Harvard University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(1970)</w:t>
      </w:r>
      <w:r w:rsidR="00891F56">
        <w:rPr>
          <w:rFonts w:ascii="Times New Roman" w:hAnsi="Times New Roman"/>
        </w:rPr>
        <w:fldChar w:fldCharType="end"/>
      </w:r>
      <w:r w:rsidR="00262176" w:rsidRPr="00A77BD5">
        <w:rPr>
          <w:rFonts w:ascii="Times New Roman" w:hAnsi="Times New Roman"/>
        </w:rPr>
        <w:t xml:space="preserve"> </w:t>
      </w:r>
      <w:r w:rsidR="00CE54AF" w:rsidRPr="00A77BD5">
        <w:rPr>
          <w:rFonts w:ascii="Times New Roman" w:hAnsi="Times New Roman"/>
        </w:rPr>
        <w:t xml:space="preserve">best known </w:t>
      </w:r>
      <w:r w:rsidRPr="00A77BD5">
        <w:rPr>
          <w:rFonts w:ascii="Times New Roman" w:hAnsi="Times New Roman"/>
        </w:rPr>
        <w:t xml:space="preserve">work </w:t>
      </w:r>
      <w:r w:rsidR="00CE54AF" w:rsidRPr="00A77BD5">
        <w:rPr>
          <w:rFonts w:ascii="Times New Roman" w:hAnsi="Times New Roman"/>
        </w:rPr>
        <w:t xml:space="preserve">concerns </w:t>
      </w:r>
      <w:r w:rsidRPr="00A77BD5">
        <w:rPr>
          <w:rFonts w:ascii="Times New Roman" w:hAnsi="Times New Roman"/>
        </w:rPr>
        <w:t>exit, voice, and loyalty</w:t>
      </w:r>
      <w:r w:rsidR="00CE54AF" w:rsidRPr="00A77BD5">
        <w:rPr>
          <w:rFonts w:ascii="Times New Roman" w:hAnsi="Times New Roman"/>
        </w:rPr>
        <w:t>.</w:t>
      </w:r>
      <w:r w:rsidRPr="00A77BD5">
        <w:rPr>
          <w:rFonts w:ascii="Times New Roman" w:hAnsi="Times New Roman"/>
        </w:rPr>
        <w:t xml:space="preserve"> These </w:t>
      </w:r>
      <w:r w:rsidR="00E9483E" w:rsidRPr="00A77BD5">
        <w:rPr>
          <w:rFonts w:ascii="Times New Roman" w:hAnsi="Times New Roman"/>
        </w:rPr>
        <w:t>are</w:t>
      </w:r>
      <w:r w:rsidRPr="00A77BD5">
        <w:rPr>
          <w:rFonts w:ascii="Times New Roman" w:hAnsi="Times New Roman"/>
        </w:rPr>
        <w:t xml:space="preserve"> modalities for communicating about and responding to the failures of firms, states, and institutions. </w:t>
      </w:r>
      <w:r w:rsidR="00891F56">
        <w:rPr>
          <w:rFonts w:ascii="Times New Roman" w:hAnsi="Times New Roman"/>
        </w:rPr>
        <w:fldChar w:fldCharType="begin"/>
      </w:r>
      <w:r w:rsidR="00891F56">
        <w:rPr>
          <w:rFonts w:ascii="Times New Roman" w:hAnsi="Times New Roman"/>
        </w:rPr>
        <w:instrText xml:space="preserve"> ADDIN EN.CITE &lt;EndNote&gt;&lt;Cite AuthorYear="1"&gt;&lt;Author&gt;Helleiner&lt;/Author&gt;&lt;Year&gt;2010&lt;/Year&gt;&lt;RecNum&gt;495&lt;/RecNum&gt;&lt;DisplayText&gt;Helleiner (2010)&lt;/DisplayText&gt;&lt;record&gt;&lt;rec-number&gt;495&lt;/rec-number&gt;&lt;foreign-keys&gt;&lt;key app="EN" db-id="x2xf5e95kefpz8e59fcx5psgerr9wepetvet" timestamp="1407356312"&gt;495&lt;/key&gt;&lt;/foreign-keys&gt;&lt;ref-type name="Journal Article"&gt;17&lt;/ref-type&gt;&lt;contributors&gt;&lt;authors&gt;&lt;author&gt;Helleiner, Gerald K.&lt;/author&gt;&lt;/authors&gt;&lt;/contributors&gt;&lt;titles&gt;&lt;title&gt;Towards Realistic Governance Reform in International Financial Institutions&lt;/title&gt;&lt;secondary-title&gt;Global Economy Journal&lt;/secondary-title&gt;&lt;/titles&gt;&lt;periodical&gt;&lt;full-title&gt;Global Economy Journal&lt;/full-title&gt;&lt;/periodical&gt;&lt;pages&gt;1-4&lt;/pages&gt;&lt;volume&gt;10&lt;/volume&gt;&lt;number&gt;3&lt;/number&gt;&lt;dates&gt;&lt;year&gt;2010&lt;/year&gt;&lt;/dates&gt;&lt;urls&gt;&lt;/urls&gt;&lt;/record&gt;&lt;/Cite&gt;&lt;/EndNote&gt;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Helleiner (2010)</w:t>
      </w:r>
      <w:r w:rsidR="00891F56">
        <w:rPr>
          <w:rFonts w:ascii="Times New Roman" w:hAnsi="Times New Roman"/>
        </w:rPr>
        <w:fldChar w:fldCharType="end"/>
      </w:r>
      <w:r w:rsidRPr="00A77BD5">
        <w:rPr>
          <w:rFonts w:ascii="Times New Roman" w:hAnsi="Times New Roman"/>
        </w:rPr>
        <w:t xml:space="preserve"> employs Hirschman’s exit, voice, and loyalty to explain why the Asian and especially the GFC renewed interest among EMDE policymakers in ways to escape (i.e., exit) the monopoly of the BWIs through </w:t>
      </w:r>
      <w:r w:rsidR="00FE6B90" w:rsidRPr="00A77BD5">
        <w:rPr>
          <w:rFonts w:ascii="Times New Roman" w:hAnsi="Times New Roman"/>
        </w:rPr>
        <w:t xml:space="preserve">institution </w:t>
      </w:r>
      <w:r w:rsidRPr="00A77BD5">
        <w:rPr>
          <w:rFonts w:ascii="Times New Roman" w:hAnsi="Times New Roman"/>
        </w:rPr>
        <w:t xml:space="preserve">creation or expansion. Efforts by EMDE representatives to voice concerns about governance and infrastructure finance were ignored by the BWIs, thereby undermining whatever loyalty to the institutions existed. Institutional innovation may enable some countries to exit or at least </w:t>
      </w:r>
      <w:r w:rsidR="00D643AE" w:rsidRPr="00A77BD5">
        <w:rPr>
          <w:rFonts w:ascii="Times New Roman" w:hAnsi="Times New Roman"/>
        </w:rPr>
        <w:t>reduce dependence</w:t>
      </w:r>
      <w:r w:rsidRPr="00A77BD5">
        <w:rPr>
          <w:rFonts w:ascii="Times New Roman" w:hAnsi="Times New Roman"/>
        </w:rPr>
        <w:t xml:space="preserve"> on the BWIs. More importantly, innovation creates oppor</w:t>
      </w:r>
      <w:r w:rsidR="00583470" w:rsidRPr="00A77BD5">
        <w:rPr>
          <w:rFonts w:ascii="Times New Roman" w:hAnsi="Times New Roman"/>
        </w:rPr>
        <w:t>tunities for forum shopping and</w:t>
      </w:r>
      <w:r w:rsidRPr="00A77BD5">
        <w:rPr>
          <w:rFonts w:ascii="Times New Roman" w:hAnsi="Times New Roman"/>
        </w:rPr>
        <w:t xml:space="preserve"> development of relationships that may enhance EMDE bargaining power </w:t>
      </w:r>
      <w:r w:rsidR="00A86010" w:rsidRPr="00A77BD5">
        <w:rPr>
          <w:rFonts w:ascii="Times New Roman" w:hAnsi="Times New Roman"/>
        </w:rPr>
        <w:t>(</w:t>
      </w:r>
      <w:r w:rsidR="008A37B5">
        <w:rPr>
          <w:rFonts w:ascii="Times New Roman" w:hAnsi="Times New Roman"/>
        </w:rPr>
        <w:t xml:space="preserve">i.e., </w:t>
      </w:r>
      <w:r w:rsidR="00A86010" w:rsidRPr="00A77BD5">
        <w:rPr>
          <w:rFonts w:ascii="Times New Roman" w:hAnsi="Times New Roman"/>
        </w:rPr>
        <w:t xml:space="preserve">voice) </w:t>
      </w:r>
      <w:r w:rsidRPr="00A77BD5">
        <w:rPr>
          <w:rFonts w:ascii="Times New Roman" w:hAnsi="Times New Roman"/>
        </w:rPr>
        <w:t xml:space="preserve">within the BWIs. </w:t>
      </w:r>
    </w:p>
    <w:p w14:paraId="3E2899D7" w14:textId="77777777" w:rsidR="008E2A2E" w:rsidRPr="00A77BD5" w:rsidRDefault="008E2A2E" w:rsidP="004F7552">
      <w:pPr>
        <w:spacing w:line="360" w:lineRule="auto"/>
        <w:rPr>
          <w:rFonts w:ascii="Times New Roman" w:hAnsi="Times New Roman"/>
          <w:b/>
        </w:rPr>
      </w:pPr>
      <w:proofErr w:type="spellStart"/>
      <w:r w:rsidRPr="00A77BD5">
        <w:rPr>
          <w:rFonts w:ascii="Times New Roman" w:hAnsi="Times New Roman"/>
          <w:b/>
        </w:rPr>
        <w:t>Hirschmanian</w:t>
      </w:r>
      <w:proofErr w:type="spellEnd"/>
      <w:r w:rsidRPr="00A77BD5">
        <w:rPr>
          <w:rFonts w:ascii="Times New Roman" w:hAnsi="Times New Roman"/>
          <w:b/>
        </w:rPr>
        <w:t xml:space="preserve"> Proscriptions </w:t>
      </w:r>
    </w:p>
    <w:p w14:paraId="36A2982F" w14:textId="3F61A4C6" w:rsidR="008E2A2E" w:rsidRPr="00A77BD5" w:rsidRDefault="00252A0E" w:rsidP="004F7552">
      <w:pPr>
        <w:spacing w:line="360" w:lineRule="auto"/>
        <w:rPr>
          <w:rFonts w:ascii="Times New Roman" w:hAnsi="Times New Roman"/>
        </w:rPr>
      </w:pPr>
      <w:r w:rsidRPr="00A77BD5">
        <w:rPr>
          <w:rFonts w:ascii="Times New Roman" w:hAnsi="Times New Roman"/>
        </w:rPr>
        <w:t>To the skeptical academic mind s</w:t>
      </w:r>
      <w:r w:rsidR="008E2A2E" w:rsidRPr="00A77BD5">
        <w:rPr>
          <w:rFonts w:ascii="Times New Roman" w:hAnsi="Times New Roman"/>
        </w:rPr>
        <w:t xml:space="preserve">ome of the innovations surveyed here (and in this symposium) might </w:t>
      </w:r>
      <w:r w:rsidRPr="00A77BD5">
        <w:rPr>
          <w:rFonts w:ascii="Times New Roman" w:hAnsi="Times New Roman"/>
        </w:rPr>
        <w:t>appear</w:t>
      </w:r>
      <w:r w:rsidR="008E2A2E" w:rsidRPr="00A77BD5">
        <w:rPr>
          <w:rFonts w:ascii="Times New Roman" w:hAnsi="Times New Roman"/>
        </w:rPr>
        <w:t xml:space="preserve"> as trivial owing to their size, or disappointing because </w:t>
      </w:r>
      <w:r w:rsidRPr="00A77BD5">
        <w:rPr>
          <w:rFonts w:ascii="Times New Roman" w:hAnsi="Times New Roman"/>
        </w:rPr>
        <w:t xml:space="preserve">they </w:t>
      </w:r>
      <w:r w:rsidR="008C573D" w:rsidRPr="00A77BD5">
        <w:rPr>
          <w:rFonts w:ascii="Times New Roman" w:hAnsi="Times New Roman"/>
        </w:rPr>
        <w:t>fail to</w:t>
      </w:r>
      <w:r w:rsidR="008E2A2E" w:rsidRPr="00A77BD5">
        <w:rPr>
          <w:rFonts w:ascii="Times New Roman" w:hAnsi="Times New Roman"/>
        </w:rPr>
        <w:t xml:space="preserve"> break with the BWIs. </w:t>
      </w:r>
      <w:proofErr w:type="spellStart"/>
      <w:r w:rsidR="008E2A2E" w:rsidRPr="00A77BD5">
        <w:rPr>
          <w:rFonts w:ascii="Times New Roman" w:hAnsi="Times New Roman"/>
        </w:rPr>
        <w:t>Hirschmanian</w:t>
      </w:r>
      <w:proofErr w:type="spellEnd"/>
      <w:r w:rsidR="008E2A2E" w:rsidRPr="00A77BD5">
        <w:rPr>
          <w:rFonts w:ascii="Times New Roman" w:hAnsi="Times New Roman"/>
        </w:rPr>
        <w:t xml:space="preserve"> </w:t>
      </w:r>
      <w:r w:rsidR="00AF6CBE" w:rsidRPr="00A77BD5">
        <w:rPr>
          <w:rFonts w:ascii="Times New Roman" w:hAnsi="Times New Roman"/>
        </w:rPr>
        <w:t>urges us to push back against skeptical thinking. In his view</w:t>
      </w:r>
      <w:r w:rsidR="00F03E65" w:rsidRPr="00A77BD5">
        <w:rPr>
          <w:rFonts w:ascii="Times New Roman" w:hAnsi="Times New Roman"/>
        </w:rPr>
        <w:t xml:space="preserve"> </w:t>
      </w:r>
      <w:r w:rsidR="008E2A2E" w:rsidRPr="00A77BD5">
        <w:rPr>
          <w:rFonts w:ascii="Times New Roman" w:hAnsi="Times New Roman"/>
        </w:rPr>
        <w:t xml:space="preserve">the small, </w:t>
      </w:r>
      <w:r w:rsidR="008C573D" w:rsidRPr="00A77BD5">
        <w:rPr>
          <w:rFonts w:ascii="Times New Roman" w:hAnsi="Times New Roman"/>
        </w:rPr>
        <w:t xml:space="preserve">the </w:t>
      </w:r>
      <w:r w:rsidR="001301CB" w:rsidRPr="00A77BD5">
        <w:rPr>
          <w:rFonts w:ascii="Times New Roman" w:hAnsi="Times New Roman"/>
        </w:rPr>
        <w:t xml:space="preserve">disappointing, </w:t>
      </w:r>
      <w:r w:rsidR="008C573D" w:rsidRPr="00A77BD5">
        <w:rPr>
          <w:rFonts w:ascii="Times New Roman" w:hAnsi="Times New Roman"/>
        </w:rPr>
        <w:t xml:space="preserve">the </w:t>
      </w:r>
      <w:r w:rsidR="001301CB" w:rsidRPr="00A77BD5">
        <w:rPr>
          <w:rFonts w:ascii="Times New Roman" w:hAnsi="Times New Roman"/>
        </w:rPr>
        <w:t xml:space="preserve">disparate, </w:t>
      </w:r>
      <w:r w:rsidR="00AF6CBE" w:rsidRPr="00A77BD5">
        <w:rPr>
          <w:rFonts w:ascii="Times New Roman" w:hAnsi="Times New Roman"/>
        </w:rPr>
        <w:t xml:space="preserve">and </w:t>
      </w:r>
      <w:r w:rsidR="008C573D" w:rsidRPr="00A77BD5">
        <w:rPr>
          <w:rFonts w:ascii="Times New Roman" w:hAnsi="Times New Roman"/>
        </w:rPr>
        <w:t xml:space="preserve">the </w:t>
      </w:r>
      <w:r w:rsidR="003048D9" w:rsidRPr="00A77BD5">
        <w:rPr>
          <w:rFonts w:ascii="Times New Roman" w:hAnsi="Times New Roman"/>
        </w:rPr>
        <w:t>experimental</w:t>
      </w:r>
      <w:r w:rsidR="00AF6CBE" w:rsidRPr="00A77BD5">
        <w:rPr>
          <w:rFonts w:ascii="Times New Roman" w:hAnsi="Times New Roman"/>
        </w:rPr>
        <w:t xml:space="preserve"> </w:t>
      </w:r>
      <w:r w:rsidR="008E2A2E" w:rsidRPr="00A77BD5">
        <w:rPr>
          <w:rFonts w:ascii="Times New Roman" w:hAnsi="Times New Roman"/>
        </w:rPr>
        <w:t>must not be discounted in advance because they do not shatter prevailing norms, are not the embodiment of an</w:t>
      </w:r>
      <w:r w:rsidR="007C3685" w:rsidRPr="00A77BD5">
        <w:rPr>
          <w:rFonts w:ascii="Times New Roman" w:hAnsi="Times New Roman"/>
        </w:rPr>
        <w:t xml:space="preserve"> over</w:t>
      </w:r>
      <w:r w:rsidR="008E2A2E" w:rsidRPr="00A77BD5">
        <w:rPr>
          <w:rFonts w:ascii="Times New Roman" w:hAnsi="Times New Roman"/>
        </w:rPr>
        <w:t xml:space="preserve">arching plan, are not scalable, or because they are paltry when compared with the magnitude of </w:t>
      </w:r>
      <w:r w:rsidR="007C3685" w:rsidRPr="00A77BD5">
        <w:rPr>
          <w:rFonts w:ascii="Times New Roman" w:hAnsi="Times New Roman"/>
        </w:rPr>
        <w:t xml:space="preserve">the </w:t>
      </w:r>
      <w:r w:rsidR="008E2A2E" w:rsidRPr="00A77BD5">
        <w:rPr>
          <w:rFonts w:ascii="Times New Roman" w:hAnsi="Times New Roman"/>
        </w:rPr>
        <w:t xml:space="preserve">problems confronting EMDEs </w:t>
      </w:r>
      <w:r w:rsidR="00F604B3" w:rsidRPr="00A77BD5">
        <w:rPr>
          <w:rFonts w:ascii="Times New Roman" w:hAnsi="Times New Roman"/>
        </w:rPr>
        <w:t xml:space="preserve">in a fragile </w:t>
      </w:r>
      <w:r w:rsidR="008E2A2E" w:rsidRPr="00A77BD5">
        <w:rPr>
          <w:rFonts w:ascii="Times New Roman" w:hAnsi="Times New Roman"/>
        </w:rPr>
        <w:t xml:space="preserve">environment. Guidance from Hirschman on these </w:t>
      </w:r>
      <w:r w:rsidR="007C3685" w:rsidRPr="00A77BD5">
        <w:rPr>
          <w:rFonts w:ascii="Times New Roman" w:hAnsi="Times New Roman"/>
        </w:rPr>
        <w:t>matters</w:t>
      </w:r>
      <w:r w:rsidR="008E2A2E" w:rsidRPr="00A77BD5">
        <w:rPr>
          <w:rFonts w:ascii="Times New Roman" w:hAnsi="Times New Roman"/>
        </w:rPr>
        <w:t xml:space="preserve"> takes the form of </w:t>
      </w:r>
      <w:r w:rsidR="008E2A2E" w:rsidRPr="00A77BD5">
        <w:rPr>
          <w:rFonts w:ascii="Times New Roman" w:hAnsi="Times New Roman"/>
          <w:i/>
        </w:rPr>
        <w:t>pro</w:t>
      </w:r>
      <w:r w:rsidR="008E2A2E" w:rsidRPr="00A77BD5">
        <w:rPr>
          <w:rFonts w:ascii="Times New Roman" w:hAnsi="Times New Roman"/>
        </w:rPr>
        <w:t xml:space="preserve">scriptions—to reject evaluative criteria that purport to determine </w:t>
      </w:r>
      <w:r w:rsidR="003B71D6" w:rsidRPr="00A77BD5">
        <w:rPr>
          <w:rFonts w:ascii="Times New Roman" w:hAnsi="Times New Roman"/>
        </w:rPr>
        <w:t>ex ante or even ex post whether</w:t>
      </w:r>
      <w:r w:rsidR="008E2A2E" w:rsidRPr="00A77BD5">
        <w:rPr>
          <w:rFonts w:ascii="Times New Roman" w:hAnsi="Times New Roman"/>
        </w:rPr>
        <w:t xml:space="preserve"> institutional innovations are </w:t>
      </w:r>
      <w:r w:rsidR="008E2A2E" w:rsidRPr="00A77BD5">
        <w:rPr>
          <w:rFonts w:ascii="Times New Roman" w:hAnsi="Times New Roman"/>
          <w:i/>
        </w:rPr>
        <w:t>coherent, viable, sufficient, scalable, and significant.</w:t>
      </w:r>
    </w:p>
    <w:p w14:paraId="16B51D11" w14:textId="2B3A0636" w:rsidR="008E2A2E" w:rsidRPr="00A77BD5" w:rsidRDefault="007A7F03" w:rsidP="004F7552">
      <w:pPr>
        <w:pStyle w:val="NoSpacing"/>
        <w:spacing w:line="360" w:lineRule="auto"/>
        <w:ind w:firstLine="720"/>
        <w:rPr>
          <w:rFonts w:ascii="Times New Roman" w:hAnsi="Times New Roman"/>
        </w:rPr>
      </w:pPr>
      <w:r w:rsidRPr="00A77BD5">
        <w:rPr>
          <w:rFonts w:ascii="Times New Roman" w:hAnsi="Times New Roman"/>
        </w:rPr>
        <w:t xml:space="preserve">There are several </w:t>
      </w:r>
      <w:proofErr w:type="spellStart"/>
      <w:r w:rsidRPr="00A77BD5">
        <w:rPr>
          <w:rFonts w:ascii="Times New Roman" w:hAnsi="Times New Roman"/>
        </w:rPr>
        <w:t>Hirschmanian</w:t>
      </w:r>
      <w:proofErr w:type="spellEnd"/>
      <w:r w:rsidRPr="00A77BD5">
        <w:rPr>
          <w:rFonts w:ascii="Times New Roman" w:hAnsi="Times New Roman"/>
        </w:rPr>
        <w:t xml:space="preserve"> proscriptions. </w:t>
      </w:r>
      <w:r w:rsidR="008E2A2E" w:rsidRPr="00A77BD5">
        <w:rPr>
          <w:rFonts w:ascii="Times New Roman" w:hAnsi="Times New Roman"/>
        </w:rPr>
        <w:t>First, we should not vet new initiatives by reference to coherence criteria, adjudicating their viability based on the degree to which they ‘fit’ into an overarching system. We should instead presume that any observed institutional innovations within and across countries conflicts to some degree with established institutions, just as existing institutions conflict with each other. Tensions between seemingly inconsistent endeavors might be more apparent than real, and even real tensions might yield unforeseeable adaptations that solve important problems.</w:t>
      </w:r>
      <w:r w:rsidR="007D1551" w:rsidRPr="00A77BD5">
        <w:rPr>
          <w:rFonts w:ascii="Times New Roman" w:hAnsi="Times New Roman"/>
        </w:rPr>
        <w:t xml:space="preserve"> </w:t>
      </w:r>
      <w:r w:rsidR="00EF4FAA" w:rsidRPr="00A77BD5">
        <w:rPr>
          <w:rFonts w:ascii="Times New Roman" w:hAnsi="Times New Roman"/>
        </w:rPr>
        <w:t>Similarly, we should not be concerned with whether innovations are redundant. S</w:t>
      </w:r>
      <w:r w:rsidR="008E2A2E" w:rsidRPr="00A77BD5">
        <w:rPr>
          <w:rFonts w:ascii="Times New Roman" w:hAnsi="Times New Roman"/>
        </w:rPr>
        <w:t xml:space="preserve">treamlined, coherent systems </w:t>
      </w:r>
      <w:r w:rsidR="00F55944" w:rsidRPr="00A77BD5">
        <w:rPr>
          <w:rFonts w:ascii="Times New Roman" w:hAnsi="Times New Roman"/>
        </w:rPr>
        <w:t xml:space="preserve">that purport to embody efficiency </w:t>
      </w:r>
      <w:r w:rsidR="008E2A2E" w:rsidRPr="00A77BD5">
        <w:rPr>
          <w:rFonts w:ascii="Times New Roman" w:hAnsi="Times New Roman"/>
        </w:rPr>
        <w:t xml:space="preserve">are </w:t>
      </w:r>
      <w:r w:rsidR="00F55944" w:rsidRPr="00A77BD5">
        <w:rPr>
          <w:rFonts w:ascii="Times New Roman" w:hAnsi="Times New Roman"/>
        </w:rPr>
        <w:t xml:space="preserve">hardly </w:t>
      </w:r>
      <w:r w:rsidR="008E2A2E" w:rsidRPr="00A77BD5">
        <w:rPr>
          <w:rFonts w:ascii="Times New Roman" w:hAnsi="Times New Roman"/>
        </w:rPr>
        <w:t xml:space="preserve">ideal. </w:t>
      </w:r>
      <w:r w:rsidR="00861356" w:rsidRPr="00A77BD5">
        <w:rPr>
          <w:rFonts w:ascii="Times New Roman" w:hAnsi="Times New Roman"/>
        </w:rPr>
        <w:t>A</w:t>
      </w:r>
      <w:r w:rsidR="008E2A2E" w:rsidRPr="00A77BD5">
        <w:rPr>
          <w:rFonts w:ascii="Times New Roman" w:hAnsi="Times New Roman"/>
        </w:rPr>
        <w:t xml:space="preserve"> coherent financial monoculture comprised only of the BWIs concentrates power </w:t>
      </w:r>
      <w:r w:rsidR="002B06A7" w:rsidRPr="00A77BD5">
        <w:rPr>
          <w:rFonts w:ascii="Times New Roman" w:hAnsi="Times New Roman"/>
        </w:rPr>
        <w:t>and is inherently risky</w:t>
      </w:r>
      <w:r w:rsidR="00861356" w:rsidRPr="00A77BD5">
        <w:rPr>
          <w:rFonts w:ascii="Times New Roman" w:hAnsi="Times New Roman"/>
        </w:rPr>
        <w:t>, as the last decades reveal</w:t>
      </w:r>
      <w:r w:rsidR="008E2A2E" w:rsidRPr="00A77BD5">
        <w:rPr>
          <w:rFonts w:ascii="Times New Roman" w:hAnsi="Times New Roman"/>
        </w:rPr>
        <w:t xml:space="preserve">. </w:t>
      </w:r>
    </w:p>
    <w:p w14:paraId="3D28CE6C" w14:textId="6C0D1317" w:rsidR="008E2A2E" w:rsidRPr="00A77BD5" w:rsidRDefault="008E2A2E" w:rsidP="004F7552">
      <w:pPr>
        <w:pStyle w:val="NoSpacing"/>
        <w:spacing w:line="360" w:lineRule="auto"/>
        <w:ind w:firstLine="720"/>
        <w:rPr>
          <w:rFonts w:ascii="Times New Roman" w:hAnsi="Times New Roman"/>
        </w:rPr>
      </w:pPr>
      <w:r w:rsidRPr="00A77BD5">
        <w:rPr>
          <w:rFonts w:ascii="Times New Roman" w:hAnsi="Times New Roman"/>
        </w:rPr>
        <w:t xml:space="preserve">Second, we should not presume to know whether innovations can exist and survive over the long term, or whether some or all are unviable owing to pressures emanating from the global economy, the power of particular nations or actors, or </w:t>
      </w:r>
      <w:r w:rsidR="00C00993" w:rsidRPr="00A77BD5">
        <w:rPr>
          <w:rFonts w:ascii="Times New Roman" w:hAnsi="Times New Roman"/>
        </w:rPr>
        <w:t xml:space="preserve">EMDE </w:t>
      </w:r>
      <w:r w:rsidRPr="00A77BD5">
        <w:rPr>
          <w:rFonts w:ascii="Times New Roman" w:hAnsi="Times New Roman"/>
        </w:rPr>
        <w:t xml:space="preserve">fragilities. Learning happens, Hirschman reminds us, through confrontation with obstacles and failures and not just or primarily through success. Moreover, new capacities, knowledge, networks, and coalitions may be built even when </w:t>
      </w:r>
      <w:r w:rsidR="0077744C" w:rsidRPr="00A77BD5">
        <w:rPr>
          <w:rFonts w:ascii="Times New Roman" w:hAnsi="Times New Roman"/>
        </w:rPr>
        <w:t>innovations</w:t>
      </w:r>
      <w:r w:rsidRPr="00A77BD5">
        <w:rPr>
          <w:rFonts w:ascii="Times New Roman" w:hAnsi="Times New Roman"/>
        </w:rPr>
        <w:t xml:space="preserve"> </w:t>
      </w:r>
      <w:r w:rsidR="00351B7B" w:rsidRPr="00A77BD5">
        <w:rPr>
          <w:rFonts w:ascii="Times New Roman" w:hAnsi="Times New Roman"/>
        </w:rPr>
        <w:t xml:space="preserve">fail to survive. </w:t>
      </w:r>
      <w:proofErr w:type="spellStart"/>
      <w:r w:rsidRPr="00A77BD5">
        <w:rPr>
          <w:rFonts w:ascii="Times New Roman" w:hAnsi="Times New Roman"/>
        </w:rPr>
        <w:t>Hirschmanian</w:t>
      </w:r>
      <w:proofErr w:type="spellEnd"/>
      <w:r w:rsidRPr="00A77BD5">
        <w:rPr>
          <w:rFonts w:ascii="Times New Roman" w:hAnsi="Times New Roman"/>
        </w:rPr>
        <w:t xml:space="preserve"> linkages or side effects may bear fruit in unexpected</w:t>
      </w:r>
      <w:r w:rsidR="00351B7B" w:rsidRPr="00A77BD5">
        <w:rPr>
          <w:rFonts w:ascii="Times New Roman" w:hAnsi="Times New Roman"/>
        </w:rPr>
        <w:t>,</w:t>
      </w:r>
      <w:r w:rsidRPr="00A77BD5">
        <w:rPr>
          <w:rFonts w:ascii="Times New Roman" w:hAnsi="Times New Roman"/>
        </w:rPr>
        <w:t xml:space="preserve"> unpredictable ways over </w:t>
      </w:r>
      <w:r w:rsidR="00351B7B" w:rsidRPr="00A77BD5">
        <w:rPr>
          <w:rFonts w:ascii="Times New Roman" w:hAnsi="Times New Roman"/>
        </w:rPr>
        <w:t>time</w:t>
      </w:r>
      <w:r w:rsidRPr="00A77BD5">
        <w:rPr>
          <w:rFonts w:ascii="Times New Roman" w:hAnsi="Times New Roman"/>
        </w:rPr>
        <w:t xml:space="preserve">. </w:t>
      </w:r>
    </w:p>
    <w:p w14:paraId="6183D661" w14:textId="4CA25284" w:rsidR="008E2A2E" w:rsidRPr="00A77BD5" w:rsidRDefault="008E2A2E" w:rsidP="004F7552">
      <w:pPr>
        <w:pStyle w:val="NoSpacing"/>
        <w:spacing w:line="360" w:lineRule="auto"/>
        <w:ind w:firstLine="720"/>
        <w:rPr>
          <w:rFonts w:ascii="Times New Roman" w:hAnsi="Times New Roman"/>
        </w:rPr>
      </w:pPr>
      <w:r w:rsidRPr="00A77BD5">
        <w:rPr>
          <w:rFonts w:ascii="Times New Roman" w:hAnsi="Times New Roman"/>
        </w:rPr>
        <w:t xml:space="preserve">Third, we should not be concerned with whether innovations are adequate in the sense of addressing the full range of needs for developmental finance. They can’t. </w:t>
      </w:r>
      <w:r w:rsidR="004B462D" w:rsidRPr="00A77BD5">
        <w:rPr>
          <w:rFonts w:ascii="Times New Roman" w:hAnsi="Times New Roman"/>
        </w:rPr>
        <w:t xml:space="preserve">But then, what </w:t>
      </w:r>
      <w:r w:rsidR="00176E13" w:rsidRPr="00A77BD5">
        <w:rPr>
          <w:rFonts w:ascii="Times New Roman" w:hAnsi="Times New Roman"/>
        </w:rPr>
        <w:t>can</w:t>
      </w:r>
      <w:r w:rsidR="00BF2098" w:rsidRPr="00A77BD5">
        <w:rPr>
          <w:rFonts w:ascii="Times New Roman" w:hAnsi="Times New Roman"/>
        </w:rPr>
        <w:t xml:space="preserve">? </w:t>
      </w:r>
      <w:proofErr w:type="gramStart"/>
      <w:r w:rsidR="00BF2098" w:rsidRPr="00A77BD5">
        <w:rPr>
          <w:rFonts w:ascii="Times New Roman" w:hAnsi="Times New Roman"/>
        </w:rPr>
        <w:t>S</w:t>
      </w:r>
      <w:r w:rsidR="00540B25" w:rsidRPr="00A77BD5">
        <w:rPr>
          <w:rFonts w:ascii="Times New Roman" w:hAnsi="Times New Roman"/>
        </w:rPr>
        <w:t>urely not the BWIs</w:t>
      </w:r>
      <w:r w:rsidR="00176E13" w:rsidRPr="00A77BD5">
        <w:rPr>
          <w:rFonts w:ascii="Times New Roman" w:hAnsi="Times New Roman"/>
        </w:rPr>
        <w:t>.</w:t>
      </w:r>
      <w:proofErr w:type="gramEnd"/>
      <w:r w:rsidR="00D60D2D" w:rsidRPr="00A77BD5">
        <w:rPr>
          <w:rFonts w:ascii="Times New Roman" w:hAnsi="Times New Roman"/>
        </w:rPr>
        <w:t xml:space="preserve"> </w:t>
      </w:r>
      <w:r w:rsidR="00616098" w:rsidRPr="00A77BD5">
        <w:rPr>
          <w:rFonts w:ascii="Times New Roman" w:hAnsi="Times New Roman"/>
        </w:rPr>
        <w:t>C</w:t>
      </w:r>
      <w:r w:rsidRPr="00A77BD5">
        <w:rPr>
          <w:rFonts w:ascii="Times New Roman" w:hAnsi="Times New Roman"/>
        </w:rPr>
        <w:t xml:space="preserve">hallenges to multilateralism posed by the US and rising nationalism </w:t>
      </w:r>
      <w:r w:rsidR="00BF2098" w:rsidRPr="00A77BD5">
        <w:rPr>
          <w:rFonts w:ascii="Times New Roman" w:hAnsi="Times New Roman"/>
        </w:rPr>
        <w:t>around the world suggest</w:t>
      </w:r>
      <w:r w:rsidR="00B04727" w:rsidRPr="00A77BD5">
        <w:rPr>
          <w:rFonts w:ascii="Times New Roman" w:hAnsi="Times New Roman"/>
        </w:rPr>
        <w:t xml:space="preserve"> that we </w:t>
      </w:r>
      <w:r w:rsidR="00BF2098" w:rsidRPr="00A77BD5">
        <w:rPr>
          <w:rFonts w:ascii="Times New Roman" w:hAnsi="Times New Roman"/>
        </w:rPr>
        <w:t xml:space="preserve">might </w:t>
      </w:r>
      <w:r w:rsidR="00B04727" w:rsidRPr="00A77BD5">
        <w:rPr>
          <w:rFonts w:ascii="Times New Roman" w:hAnsi="Times New Roman"/>
        </w:rPr>
        <w:t>expect less from the BWIs</w:t>
      </w:r>
      <w:r w:rsidR="00444496" w:rsidRPr="00A77BD5">
        <w:rPr>
          <w:rFonts w:ascii="Times New Roman" w:hAnsi="Times New Roman"/>
        </w:rPr>
        <w:t xml:space="preserve"> in the near future</w:t>
      </w:r>
      <w:r w:rsidRPr="00A77BD5">
        <w:rPr>
          <w:rFonts w:ascii="Times New Roman" w:hAnsi="Times New Roman"/>
        </w:rPr>
        <w:t xml:space="preserve">. </w:t>
      </w:r>
      <w:r w:rsidR="00616098" w:rsidRPr="00A77BD5">
        <w:rPr>
          <w:rFonts w:ascii="Times New Roman" w:hAnsi="Times New Roman"/>
        </w:rPr>
        <w:t>It bears emphasis that finding any innovation (or web of innovations) sufficient on its own requires utopian thinking and sidesteps power asymmetries inherent in monopolies.</w:t>
      </w:r>
    </w:p>
    <w:p w14:paraId="19C43C94" w14:textId="35F14E7A" w:rsidR="008E2A2E" w:rsidRPr="00A77BD5" w:rsidRDefault="008E2A2E" w:rsidP="004F7552">
      <w:pPr>
        <w:pStyle w:val="NoSpacing"/>
        <w:spacing w:line="360" w:lineRule="auto"/>
        <w:ind w:firstLine="720"/>
        <w:rPr>
          <w:rFonts w:ascii="Times New Roman" w:hAnsi="Times New Roman"/>
        </w:rPr>
      </w:pPr>
      <w:r w:rsidRPr="00A77BD5">
        <w:rPr>
          <w:rFonts w:ascii="Times New Roman" w:hAnsi="Times New Roman"/>
        </w:rPr>
        <w:t>Fourth, we should not judge small</w:t>
      </w:r>
      <w:r w:rsidR="00565B14" w:rsidRPr="00A77BD5">
        <w:rPr>
          <w:rFonts w:ascii="Times New Roman" w:hAnsi="Times New Roman"/>
        </w:rPr>
        <w:t>-</w:t>
      </w:r>
      <w:r w:rsidRPr="00A77BD5">
        <w:rPr>
          <w:rFonts w:ascii="Times New Roman" w:hAnsi="Times New Roman"/>
        </w:rPr>
        <w:t xml:space="preserve">scale innovations against the standard of whether they are scalable and even </w:t>
      </w:r>
      <w:proofErr w:type="spellStart"/>
      <w:r w:rsidRPr="00A77BD5">
        <w:rPr>
          <w:rFonts w:ascii="Times New Roman" w:hAnsi="Times New Roman"/>
        </w:rPr>
        <w:t>universalizable</w:t>
      </w:r>
      <w:proofErr w:type="spellEnd"/>
      <w:r w:rsidRPr="00A77BD5">
        <w:rPr>
          <w:rFonts w:ascii="Times New Roman" w:hAnsi="Times New Roman"/>
        </w:rPr>
        <w:t xml:space="preserve"> (rather than contingent or context dependent) or speculate as to whether they are doomed to remain small</w:t>
      </w:r>
      <w:r w:rsidR="00565B14" w:rsidRPr="00A77BD5">
        <w:rPr>
          <w:rFonts w:ascii="Times New Roman" w:hAnsi="Times New Roman"/>
        </w:rPr>
        <w:t xml:space="preserve"> and fragile</w:t>
      </w:r>
      <w:r w:rsidRPr="00A77BD5">
        <w:rPr>
          <w:rFonts w:ascii="Times New Roman" w:hAnsi="Times New Roman"/>
        </w:rPr>
        <w:t xml:space="preserve">, and even then only in the specific environments where they have arisen. </w:t>
      </w:r>
      <w:proofErr w:type="spellStart"/>
      <w:r w:rsidRPr="00A77BD5">
        <w:rPr>
          <w:rFonts w:ascii="Times New Roman" w:hAnsi="Times New Roman"/>
        </w:rPr>
        <w:t>Replicability</w:t>
      </w:r>
      <w:proofErr w:type="spellEnd"/>
      <w:r w:rsidRPr="00A77BD5">
        <w:rPr>
          <w:rFonts w:ascii="Times New Roman" w:hAnsi="Times New Roman"/>
        </w:rPr>
        <w:t xml:space="preserve"> but with significant variation is a less ambitious but more achievable goal than </w:t>
      </w:r>
      <w:r w:rsidR="00124B25" w:rsidRPr="00A77BD5">
        <w:rPr>
          <w:rFonts w:ascii="Times New Roman" w:hAnsi="Times New Roman"/>
        </w:rPr>
        <w:t xml:space="preserve">scalability. </w:t>
      </w:r>
      <w:r w:rsidR="009027F6" w:rsidRPr="00A77BD5">
        <w:rPr>
          <w:rFonts w:ascii="Times New Roman" w:hAnsi="Times New Roman"/>
        </w:rPr>
        <w:t>It is true that s</w:t>
      </w:r>
      <w:r w:rsidRPr="00A77BD5">
        <w:rPr>
          <w:rFonts w:ascii="Times New Roman" w:hAnsi="Times New Roman"/>
        </w:rPr>
        <w:t xml:space="preserve">ome </w:t>
      </w:r>
      <w:r w:rsidR="000B4085" w:rsidRPr="00A77BD5">
        <w:rPr>
          <w:rFonts w:ascii="Times New Roman" w:hAnsi="Times New Roman"/>
        </w:rPr>
        <w:t xml:space="preserve">objectives, </w:t>
      </w:r>
      <w:r w:rsidRPr="00A77BD5">
        <w:rPr>
          <w:rFonts w:ascii="Times New Roman" w:hAnsi="Times New Roman"/>
        </w:rPr>
        <w:t xml:space="preserve">such as the </w:t>
      </w:r>
      <w:proofErr w:type="spellStart"/>
      <w:r w:rsidR="002E5AEE" w:rsidRPr="00A77BD5">
        <w:rPr>
          <w:rFonts w:ascii="Times New Roman" w:hAnsi="Times New Roman"/>
        </w:rPr>
        <w:t>S</w:t>
      </w:r>
      <w:r w:rsidR="000B4085" w:rsidRPr="00A77BD5">
        <w:rPr>
          <w:rFonts w:ascii="Times New Roman" w:hAnsi="Times New Roman"/>
        </w:rPr>
        <w:t>ustinable</w:t>
      </w:r>
      <w:proofErr w:type="spellEnd"/>
      <w:r w:rsidR="000B4085" w:rsidRPr="00A77BD5">
        <w:rPr>
          <w:rFonts w:ascii="Times New Roman" w:hAnsi="Times New Roman"/>
        </w:rPr>
        <w:t xml:space="preserve"> </w:t>
      </w:r>
      <w:r w:rsidR="002E5AEE" w:rsidRPr="00A77BD5">
        <w:rPr>
          <w:rFonts w:ascii="Times New Roman" w:hAnsi="Times New Roman"/>
        </w:rPr>
        <w:t>D</w:t>
      </w:r>
      <w:r w:rsidR="000B4085" w:rsidRPr="00A77BD5">
        <w:rPr>
          <w:rFonts w:ascii="Times New Roman" w:hAnsi="Times New Roman"/>
        </w:rPr>
        <w:t xml:space="preserve">evelopment </w:t>
      </w:r>
      <w:r w:rsidR="002E5AEE" w:rsidRPr="00A77BD5">
        <w:rPr>
          <w:rFonts w:ascii="Times New Roman" w:hAnsi="Times New Roman"/>
        </w:rPr>
        <w:t>G</w:t>
      </w:r>
      <w:r w:rsidR="000B4085" w:rsidRPr="00A77BD5">
        <w:rPr>
          <w:rFonts w:ascii="Times New Roman" w:hAnsi="Times New Roman"/>
        </w:rPr>
        <w:t>oal</w:t>
      </w:r>
      <w:r w:rsidR="002E5AEE" w:rsidRPr="00A77BD5">
        <w:rPr>
          <w:rFonts w:ascii="Times New Roman" w:hAnsi="Times New Roman"/>
        </w:rPr>
        <w:t>s</w:t>
      </w:r>
      <w:r w:rsidRPr="00A77BD5">
        <w:rPr>
          <w:rFonts w:ascii="Times New Roman" w:hAnsi="Times New Roman"/>
        </w:rPr>
        <w:t xml:space="preserve"> </w:t>
      </w:r>
      <w:r w:rsidR="000B4085" w:rsidRPr="00A77BD5">
        <w:rPr>
          <w:rFonts w:ascii="Times New Roman" w:hAnsi="Times New Roman"/>
        </w:rPr>
        <w:t xml:space="preserve">(SDGs), </w:t>
      </w:r>
      <w:r w:rsidRPr="00A77BD5">
        <w:rPr>
          <w:rFonts w:ascii="Times New Roman" w:hAnsi="Times New Roman"/>
        </w:rPr>
        <w:t>require large-scale action</w:t>
      </w:r>
      <w:r w:rsidR="00124B25" w:rsidRPr="00A77BD5">
        <w:rPr>
          <w:rFonts w:ascii="Times New Roman" w:hAnsi="Times New Roman"/>
        </w:rPr>
        <w:t xml:space="preserve"> and resources</w:t>
      </w:r>
      <w:r w:rsidRPr="00A77BD5">
        <w:rPr>
          <w:rFonts w:ascii="Times New Roman" w:hAnsi="Times New Roman"/>
        </w:rPr>
        <w:t xml:space="preserve">. </w:t>
      </w:r>
      <w:r w:rsidR="000239FA" w:rsidRPr="00A77BD5">
        <w:rPr>
          <w:rFonts w:ascii="Times New Roman" w:hAnsi="Times New Roman"/>
        </w:rPr>
        <w:t xml:space="preserve">But </w:t>
      </w:r>
      <w:r w:rsidRPr="00A77BD5">
        <w:rPr>
          <w:rFonts w:ascii="Times New Roman" w:hAnsi="Times New Roman"/>
        </w:rPr>
        <w:t xml:space="preserve">this does not mean that all institutions need </w:t>
      </w:r>
      <w:r w:rsidR="000239FA" w:rsidRPr="00A77BD5">
        <w:rPr>
          <w:rFonts w:ascii="Times New Roman" w:hAnsi="Times New Roman"/>
        </w:rPr>
        <w:t xml:space="preserve">to </w:t>
      </w:r>
      <w:r w:rsidRPr="00A77BD5">
        <w:rPr>
          <w:rFonts w:ascii="Times New Roman" w:hAnsi="Times New Roman"/>
        </w:rPr>
        <w:t>be scalable</w:t>
      </w:r>
      <w:r w:rsidR="009027F6" w:rsidRPr="00A77BD5">
        <w:rPr>
          <w:rFonts w:ascii="Times New Roman" w:hAnsi="Times New Roman"/>
        </w:rPr>
        <w:t xml:space="preserve"> provided</w:t>
      </w:r>
      <w:r w:rsidR="000239FA" w:rsidRPr="00A77BD5">
        <w:rPr>
          <w:rFonts w:ascii="Times New Roman" w:hAnsi="Times New Roman"/>
        </w:rPr>
        <w:t xml:space="preserve"> </w:t>
      </w:r>
      <w:r w:rsidRPr="00A77BD5">
        <w:rPr>
          <w:rFonts w:ascii="Times New Roman" w:hAnsi="Times New Roman"/>
        </w:rPr>
        <w:t xml:space="preserve">the architecture is </w:t>
      </w:r>
      <w:r w:rsidR="009027F6" w:rsidRPr="00A77BD5">
        <w:rPr>
          <w:rFonts w:ascii="Times New Roman" w:hAnsi="Times New Roman"/>
        </w:rPr>
        <w:t xml:space="preserve">sufficiently </w:t>
      </w:r>
      <w:r w:rsidRPr="00A77BD5">
        <w:rPr>
          <w:rFonts w:ascii="Times New Roman" w:hAnsi="Times New Roman"/>
        </w:rPr>
        <w:t>dense and permissive</w:t>
      </w:r>
      <w:r w:rsidR="009027F6" w:rsidRPr="00A77BD5">
        <w:rPr>
          <w:rFonts w:ascii="Times New Roman" w:hAnsi="Times New Roman"/>
        </w:rPr>
        <w:t xml:space="preserve">, where </w:t>
      </w:r>
      <w:r w:rsidRPr="00A77BD5">
        <w:rPr>
          <w:rFonts w:ascii="Times New Roman" w:hAnsi="Times New Roman"/>
        </w:rPr>
        <w:t xml:space="preserve">multiple institutions can support </w:t>
      </w:r>
      <w:r w:rsidR="00CE2902" w:rsidRPr="00A77BD5">
        <w:rPr>
          <w:rFonts w:ascii="Times New Roman" w:hAnsi="Times New Roman"/>
        </w:rPr>
        <w:t>similar</w:t>
      </w:r>
      <w:r w:rsidR="00B11676" w:rsidRPr="00A77BD5">
        <w:rPr>
          <w:rFonts w:ascii="Times New Roman" w:hAnsi="Times New Roman"/>
        </w:rPr>
        <w:t xml:space="preserve"> </w:t>
      </w:r>
      <w:r w:rsidRPr="00A77BD5">
        <w:rPr>
          <w:rFonts w:ascii="Times New Roman" w:hAnsi="Times New Roman"/>
        </w:rPr>
        <w:t xml:space="preserve">goals. Absent a </w:t>
      </w:r>
      <w:proofErr w:type="spellStart"/>
      <w:r w:rsidRPr="00A77BD5">
        <w:rPr>
          <w:rFonts w:ascii="Times New Roman" w:hAnsi="Times New Roman"/>
        </w:rPr>
        <w:t>Hirschmanian</w:t>
      </w:r>
      <w:proofErr w:type="spellEnd"/>
      <w:r w:rsidRPr="00A77BD5">
        <w:rPr>
          <w:rFonts w:ascii="Times New Roman" w:hAnsi="Times New Roman"/>
        </w:rPr>
        <w:t xml:space="preserve"> sensibility our eyes would be trained only on initiatives scaled to the size of the BWIs, such as those driven by China.</w:t>
      </w:r>
    </w:p>
    <w:p w14:paraId="1854BE7A" w14:textId="7FE8D7DA" w:rsidR="008E2A2E" w:rsidRPr="00A77BD5" w:rsidRDefault="008E2A2E" w:rsidP="004F7552">
      <w:pPr>
        <w:spacing w:line="360" w:lineRule="auto"/>
        <w:ind w:firstLine="720"/>
        <w:rPr>
          <w:rFonts w:ascii="Times New Roman" w:hAnsi="Times New Roman"/>
          <w:i/>
        </w:rPr>
      </w:pPr>
      <w:r w:rsidRPr="00A77BD5">
        <w:rPr>
          <w:rFonts w:ascii="Times New Roman" w:hAnsi="Times New Roman"/>
        </w:rPr>
        <w:t>Fifth, we should not impose a ‘test’ of fundamental change, such as whether any institutional endeavor disrupts the structural power of the BWIs or the US. They surely don’t. In addition, we should not dismiss change on the grounds that what appears to be a new development is simply a repeat of past practices in a new guise</w:t>
      </w:r>
      <w:r w:rsidR="00093F3E" w:rsidRPr="00A77BD5">
        <w:rPr>
          <w:rFonts w:ascii="Times New Roman" w:hAnsi="Times New Roman"/>
        </w:rPr>
        <w:t xml:space="preserve"> (as might be implied when an EMDE institution</w:t>
      </w:r>
      <w:r w:rsidR="00795E5A" w:rsidRPr="00A77BD5">
        <w:rPr>
          <w:rFonts w:ascii="Times New Roman" w:hAnsi="Times New Roman"/>
        </w:rPr>
        <w:t xml:space="preserve"> replicates </w:t>
      </w:r>
      <w:r w:rsidR="00093F3E" w:rsidRPr="00A77BD5">
        <w:rPr>
          <w:rFonts w:ascii="Times New Roman" w:hAnsi="Times New Roman"/>
        </w:rPr>
        <w:t>features of a BWI)</w:t>
      </w:r>
      <w:r w:rsidRPr="00A77BD5">
        <w:rPr>
          <w:rFonts w:ascii="Times New Roman" w:hAnsi="Times New Roman"/>
        </w:rPr>
        <w:t xml:space="preserve">. We should presume instead that significance is always context dependent—and that a reiterated construction always represents novelty owing to the unique circumstances in which it occurs. In addition, we should presume evolution rather than fixed identities and realize that significance is revealed only over time in the process of institutional adaptation. Moreover, we should recognize the </w:t>
      </w:r>
      <w:r w:rsidR="002F33C7" w:rsidRPr="00A77BD5">
        <w:rPr>
          <w:rFonts w:ascii="Times New Roman" w:hAnsi="Times New Roman"/>
        </w:rPr>
        <w:t xml:space="preserve">mistaken practice of </w:t>
      </w:r>
      <w:r w:rsidRPr="00A77BD5">
        <w:rPr>
          <w:rFonts w:ascii="Times New Roman" w:hAnsi="Times New Roman"/>
        </w:rPr>
        <w:t>pars</w:t>
      </w:r>
      <w:r w:rsidR="002F33C7" w:rsidRPr="00A77BD5">
        <w:rPr>
          <w:rFonts w:ascii="Times New Roman" w:hAnsi="Times New Roman"/>
        </w:rPr>
        <w:t>ing</w:t>
      </w:r>
      <w:r w:rsidRPr="00A77BD5">
        <w:rPr>
          <w:rFonts w:ascii="Times New Roman" w:hAnsi="Times New Roman"/>
        </w:rPr>
        <w:t xml:space="preserve"> reforms as significant</w:t>
      </w:r>
      <w:r w:rsidR="002F33C7" w:rsidRPr="00A77BD5">
        <w:rPr>
          <w:rFonts w:ascii="Times New Roman" w:hAnsi="Times New Roman"/>
        </w:rPr>
        <w:t xml:space="preserve"> or </w:t>
      </w:r>
      <w:r w:rsidRPr="00A77BD5">
        <w:rPr>
          <w:rFonts w:ascii="Times New Roman" w:hAnsi="Times New Roman"/>
        </w:rPr>
        <w:t xml:space="preserve">insignificant </w:t>
      </w:r>
      <w:r w:rsidR="007F21FE" w:rsidRPr="00A77BD5">
        <w:rPr>
          <w:rFonts w:ascii="Times New Roman" w:hAnsi="Times New Roman"/>
        </w:rPr>
        <w:t>as driven in part by</w:t>
      </w:r>
      <w:r w:rsidRPr="00A77BD5">
        <w:rPr>
          <w:rFonts w:ascii="Times New Roman" w:hAnsi="Times New Roman"/>
        </w:rPr>
        <w:t xml:space="preserve"> epistemic certainty and </w:t>
      </w:r>
      <w:proofErr w:type="spellStart"/>
      <w:proofErr w:type="gramStart"/>
      <w:r w:rsidRPr="00A77BD5">
        <w:rPr>
          <w:rFonts w:ascii="Times New Roman" w:hAnsi="Times New Roman"/>
        </w:rPr>
        <w:t>futilism</w:t>
      </w:r>
      <w:proofErr w:type="spellEnd"/>
      <w:r w:rsidR="002F33C7" w:rsidRPr="00A77BD5">
        <w:rPr>
          <w:rFonts w:ascii="Times New Roman" w:hAnsi="Times New Roman"/>
        </w:rPr>
        <w:t xml:space="preserve"> which</w:t>
      </w:r>
      <w:proofErr w:type="gramEnd"/>
      <w:r w:rsidR="002F33C7" w:rsidRPr="00A77BD5">
        <w:rPr>
          <w:rFonts w:ascii="Times New Roman" w:hAnsi="Times New Roman"/>
        </w:rPr>
        <w:t xml:space="preserve"> Hirschman urges us to reject</w:t>
      </w:r>
      <w:r w:rsidRPr="00A77BD5">
        <w:rPr>
          <w:rFonts w:ascii="Times New Roman" w:hAnsi="Times New Roman"/>
        </w:rPr>
        <w:t>.</w:t>
      </w:r>
    </w:p>
    <w:p w14:paraId="66C006FD" w14:textId="4890BC6B" w:rsidR="002772FB" w:rsidRPr="00A77BD5" w:rsidRDefault="008E2A2E" w:rsidP="004F7552">
      <w:pPr>
        <w:pStyle w:val="NoSpacing"/>
        <w:spacing w:line="360" w:lineRule="auto"/>
        <w:ind w:firstLine="720"/>
        <w:rPr>
          <w:rFonts w:ascii="Times New Roman" w:hAnsi="Times New Roman"/>
        </w:rPr>
      </w:pPr>
      <w:r w:rsidRPr="00A77BD5">
        <w:rPr>
          <w:rFonts w:ascii="Times New Roman" w:hAnsi="Times New Roman"/>
        </w:rPr>
        <w:t xml:space="preserve">Along with Hirschman we might recognize that each of these proscribed tendencies constrains our appreciation of the possible and the unscripted and blinds us to the potential of </w:t>
      </w:r>
      <w:r w:rsidR="00BF66F6">
        <w:rPr>
          <w:rFonts w:ascii="Times New Roman" w:hAnsi="Times New Roman"/>
        </w:rPr>
        <w:t>myriad, piecemeal initiatives across</w:t>
      </w:r>
      <w:r w:rsidRPr="00A77BD5">
        <w:rPr>
          <w:rFonts w:ascii="Times New Roman" w:hAnsi="Times New Roman"/>
        </w:rPr>
        <w:t xml:space="preserve"> EMDEs. </w:t>
      </w:r>
    </w:p>
    <w:p w14:paraId="6D560A87" w14:textId="77777777" w:rsidR="00E8035C" w:rsidRPr="00A77BD5" w:rsidRDefault="00E8035C" w:rsidP="004F7552">
      <w:pPr>
        <w:spacing w:line="360" w:lineRule="auto"/>
        <w:rPr>
          <w:rFonts w:ascii="Times New Roman" w:hAnsi="Times New Roman"/>
          <w:caps/>
        </w:rPr>
      </w:pPr>
      <w:r w:rsidRPr="00A77BD5">
        <w:rPr>
          <w:rFonts w:ascii="Times New Roman" w:hAnsi="Times New Roman"/>
          <w:b/>
          <w:bCs/>
          <w:caps/>
        </w:rPr>
        <w:t>Architectural Innovation during the GFC: A bird’s eye view</w:t>
      </w:r>
    </w:p>
    <w:p w14:paraId="382B3399" w14:textId="4953A913" w:rsidR="00E8035C" w:rsidRPr="00A77BD5" w:rsidRDefault="00E8035C" w:rsidP="004F7552">
      <w:pPr>
        <w:spacing w:line="360" w:lineRule="auto"/>
        <w:rPr>
          <w:rFonts w:ascii="Times New Roman" w:hAnsi="Times New Roman"/>
        </w:rPr>
      </w:pPr>
      <w:r w:rsidRPr="00A77BD5">
        <w:rPr>
          <w:rFonts w:ascii="Times New Roman" w:hAnsi="Times New Roman"/>
        </w:rPr>
        <w:t xml:space="preserve">I turn now to architectural innovations in EMDE institutions of developmental finance as seen through a </w:t>
      </w:r>
      <w:proofErr w:type="spellStart"/>
      <w:r w:rsidRPr="00A77BD5">
        <w:rPr>
          <w:rFonts w:ascii="Times New Roman" w:hAnsi="Times New Roman"/>
        </w:rPr>
        <w:t>Hirschmanian</w:t>
      </w:r>
      <w:proofErr w:type="spellEnd"/>
      <w:r w:rsidRPr="00A77BD5">
        <w:rPr>
          <w:rFonts w:ascii="Times New Roman" w:hAnsi="Times New Roman"/>
        </w:rPr>
        <w:t xml:space="preserve"> mindset. My discussion is illustrative rather than exhaustive. (See contributions to this sy</w:t>
      </w:r>
      <w:r w:rsidR="00324540" w:rsidRPr="00A77BD5">
        <w:rPr>
          <w:rFonts w:ascii="Times New Roman" w:hAnsi="Times New Roman"/>
        </w:rPr>
        <w:t>mposium for detailed examinations</w:t>
      </w:r>
      <w:r w:rsidR="008779C0" w:rsidRPr="00A77BD5">
        <w:rPr>
          <w:rFonts w:ascii="Times New Roman" w:hAnsi="Times New Roman"/>
        </w:rPr>
        <w:t xml:space="preserve">, and Grabel </w:t>
      </w:r>
      <w:r w:rsidR="00891F56">
        <w:rPr>
          <w:rFonts w:ascii="Times New Roman" w:hAnsi="Times New Roman"/>
        </w:rPr>
        <w:fldChar w:fldCharType="begin"/>
      </w:r>
      <w:r w:rsidR="00891F56">
        <w:rPr>
          <w:rFonts w:ascii="Times New Roman" w:hAnsi="Times New Roman"/>
        </w:rPr>
        <w:instrText xml:space="preserve"> ADDIN EN.CITE &lt;EndNote&gt;&lt;Cite ExcludeAuth="1"&gt;&lt;Author&gt;Grabel&lt;/Author&gt;&lt;Year&gt;2013&lt;/Year&gt;&lt;RecNum&gt;184&lt;/RecNum&gt;&lt;DisplayText&gt;(2013, 2017, ch. 6)&lt;/DisplayText&gt;&lt;record&gt;&lt;rec-number&gt;184&lt;/rec-number&gt;&lt;foreign-keys&gt;&lt;key app="EN" db-id="x2xf5e95kefpz8e59fcx5psgerr9wepetvet" timestamp="1399585477"&gt;184&lt;/key&gt;&lt;/foreign-keys&gt;&lt;ref-type name="Report"&gt;27&lt;/ref-type&gt;&lt;contributors&gt;&lt;authors&gt;&lt;author&gt;Grabel, Ilene&lt;/author&gt;&lt;/authors&gt;&lt;/contributors&gt;&lt;titles&gt;&lt;title&gt;Financial Architectures and Development: Resilience, Policy Space, and Human Development in the Global South&lt;/title&gt;&lt;/titles&gt;&lt;dates&gt;&lt;year&gt;2013&lt;/year&gt;&lt;/dates&gt;&lt;pub-location&gt;Human Development Report Office Occasional Paper No. 7. New York: United Nations Development Programme. http://hdr.undp.org/sites/default/files/hdro_1307_grabel.pdf&lt;/pub-location&gt;&lt;urls&gt;&lt;/urls&gt;&lt;access-date&gt;May 8, 2014&lt;/access-date&gt;&lt;/record&gt;&lt;/Cite&gt;&lt;Cite ExcludeAuth="1"&gt;&lt;Author&gt;Grabel&lt;/Author&gt;&lt;Year&gt;2017&lt;/Year&gt;&lt;RecNum&gt;1930&lt;/RecNum&gt;&lt;Pages&gt;ch. 6&lt;/Pages&gt;&lt;record&gt;&lt;rec-number&gt;1930&lt;/rec-number&gt;&lt;foreign-keys&gt;&lt;key app="EN" db-id="x2xf5e95kefpz8e59fcx5psgerr9wepetvet" timestamp="1499956361"&gt;1930&lt;/key&gt;&lt;/foreign-keys&gt;&lt;ref-type name="Book"&gt;6&lt;/ref-type&gt;&lt;contributors&gt;&lt;authors&gt;&lt;author&gt;Grabel, Ilene&lt;/author&gt;&lt;/authors&gt;&lt;/contributors&gt;&lt;titles&gt;&lt;title&gt;When Things Don’t Fall Apart: Global Financial Governance and Developmental Finance in an Age of Productive Incoherence&lt;/title&gt;&lt;/titles&gt;&lt;dates&gt;&lt;year&gt;2017&lt;/year&gt;&lt;/dates&gt;&lt;pub-location&gt;Cambridge, MA&lt;/pub-location&gt;&lt;publisher&gt;MIT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(2013, 2017, ch. 6)</w:t>
      </w:r>
      <w:r w:rsidR="00891F56">
        <w:rPr>
          <w:rFonts w:ascii="Times New Roman" w:hAnsi="Times New Roman"/>
        </w:rPr>
        <w:fldChar w:fldCharType="end"/>
      </w:r>
      <w:r w:rsidR="008907C3">
        <w:rPr>
          <w:rFonts w:ascii="Times New Roman" w:hAnsi="Times New Roman"/>
        </w:rPr>
        <w:t>.</w:t>
      </w:r>
      <w:r w:rsidRPr="00A77BD5">
        <w:rPr>
          <w:rFonts w:ascii="Times New Roman" w:hAnsi="Times New Roman"/>
        </w:rPr>
        <w:t xml:space="preserve"> I take note of changes that exemplify a Hirschman vision. I also </w:t>
      </w:r>
      <w:r w:rsidR="00B22451" w:rsidRPr="00A77BD5">
        <w:rPr>
          <w:rFonts w:ascii="Times New Roman" w:hAnsi="Times New Roman"/>
        </w:rPr>
        <w:t xml:space="preserve">examine </w:t>
      </w:r>
      <w:r w:rsidRPr="00A77BD5">
        <w:rPr>
          <w:rFonts w:ascii="Times New Roman" w:hAnsi="Times New Roman"/>
        </w:rPr>
        <w:t>institutional evolution based on whether it involves capacity expansion, hybridization, and/or and institutional creation.  Capacity expansion refers to enhancements in the scale of activity of institutions whose existence predated the GFC. It is most simply achieved through increased funding by participating governments but also through new revenue streams, expanded geographical reach, or the introduction of novel mechanisms or programs toward achievement of traditional or newly identified objectives that reflect a stable institutional mission. Hybridization can occur purposely, when an institution decides to reach beyond its existing mission, but also unintentionally, when an institution seeks to maintain its traditional focus but its actions ultimately blur aspects of its traditionally understood identity. Institutional creation involves transformation of proposals or aspirations into concrete institutions by existing or new parties.</w:t>
      </w:r>
      <w:r w:rsidRPr="00A77BD5">
        <w:rPr>
          <w:rFonts w:ascii="Times New Roman" w:hAnsi="Times New Roman"/>
          <w:b/>
        </w:rPr>
        <w:t xml:space="preserve"> </w:t>
      </w:r>
    </w:p>
    <w:p w14:paraId="6C674ABF" w14:textId="77777777" w:rsidR="00E8035C" w:rsidRPr="00A77BD5" w:rsidRDefault="00E8035C" w:rsidP="004F7552">
      <w:pPr>
        <w:spacing w:line="360" w:lineRule="auto"/>
        <w:rPr>
          <w:rFonts w:ascii="Times New Roman" w:hAnsi="Times New Roman"/>
        </w:rPr>
      </w:pPr>
      <w:r w:rsidRPr="00A77BD5">
        <w:rPr>
          <w:rFonts w:ascii="Times New Roman" w:hAnsi="Times New Roman"/>
          <w:b/>
        </w:rPr>
        <w:t xml:space="preserve">Evolutions in Liquidity Support </w:t>
      </w:r>
    </w:p>
    <w:p w14:paraId="3AF0971B" w14:textId="03B52F51" w:rsidR="00E8035C" w:rsidRPr="00A77BD5" w:rsidRDefault="00E8035C" w:rsidP="004F7552">
      <w:pPr>
        <w:spacing w:line="360" w:lineRule="auto"/>
        <w:rPr>
          <w:rFonts w:ascii="Times New Roman" w:hAnsi="Times New Roman"/>
        </w:rPr>
      </w:pPr>
      <w:r w:rsidRPr="00A77BD5">
        <w:rPr>
          <w:rFonts w:ascii="Times New Roman" w:hAnsi="Times New Roman"/>
        </w:rPr>
        <w:t xml:space="preserve">Liquidity support institutions provide precautionary liquidity and/or countercyclical finance. </w:t>
      </w:r>
      <w:r w:rsidR="00F1769F" w:rsidRPr="00A77BD5">
        <w:rPr>
          <w:rFonts w:ascii="Times New Roman" w:hAnsi="Times New Roman"/>
        </w:rPr>
        <w:t xml:space="preserve">Several deserve attention here. </w:t>
      </w:r>
    </w:p>
    <w:p w14:paraId="3AE1A9A5" w14:textId="77777777" w:rsidR="00E8035C" w:rsidRPr="00A77BD5" w:rsidRDefault="00E8035C" w:rsidP="004F7552">
      <w:pPr>
        <w:widowControl w:val="0"/>
        <w:tabs>
          <w:tab w:val="left" w:pos="220"/>
          <w:tab w:val="left" w:pos="720"/>
        </w:tabs>
        <w:autoSpaceDE w:val="0"/>
        <w:autoSpaceDN w:val="0"/>
        <w:adjustRightInd w:val="0"/>
        <w:spacing w:line="360" w:lineRule="auto"/>
        <w:rPr>
          <w:rFonts w:ascii="Times New Roman" w:hAnsi="Times New Roman"/>
        </w:rPr>
      </w:pPr>
      <w:r w:rsidRPr="00A77BD5">
        <w:rPr>
          <w:rFonts w:ascii="Times New Roman" w:hAnsi="Times New Roman"/>
          <w:i/>
        </w:rPr>
        <w:t xml:space="preserve">Chiang Mai Initiative </w:t>
      </w:r>
      <w:proofErr w:type="spellStart"/>
      <w:r w:rsidRPr="00A77BD5">
        <w:rPr>
          <w:rFonts w:ascii="Times New Roman" w:hAnsi="Times New Roman"/>
          <w:i/>
        </w:rPr>
        <w:t>Multilateralisation</w:t>
      </w:r>
      <w:proofErr w:type="spellEnd"/>
    </w:p>
    <w:p w14:paraId="7E35F9AD" w14:textId="140E5D85" w:rsidR="00E8035C" w:rsidRPr="00A77BD5" w:rsidRDefault="00E8035C" w:rsidP="004F7552">
      <w:pPr>
        <w:spacing w:line="360" w:lineRule="auto"/>
        <w:rPr>
          <w:rFonts w:ascii="Times New Roman" w:hAnsi="Times New Roman"/>
        </w:rPr>
      </w:pPr>
      <w:r w:rsidRPr="00A77BD5">
        <w:rPr>
          <w:rFonts w:ascii="Times New Roman" w:hAnsi="Times New Roman"/>
        </w:rPr>
        <w:t xml:space="preserve">In 2000 the Chiang Mai Initiative (CMI) built on the failed AMF proposal and a 1977 </w:t>
      </w:r>
      <w:r w:rsidR="00ED6FDB" w:rsidRPr="00A77BD5">
        <w:rPr>
          <w:rFonts w:ascii="Times New Roman" w:hAnsi="Times New Roman"/>
        </w:rPr>
        <w:t>bilateral swap agreement (</w:t>
      </w:r>
      <w:r w:rsidRPr="00A77BD5">
        <w:rPr>
          <w:rFonts w:ascii="Times New Roman" w:hAnsi="Times New Roman"/>
        </w:rPr>
        <w:t>BSA</w:t>
      </w:r>
      <w:r w:rsidR="00ED6FDB" w:rsidRPr="00A77BD5">
        <w:rPr>
          <w:rFonts w:ascii="Times New Roman" w:hAnsi="Times New Roman"/>
        </w:rPr>
        <w:t>)</w:t>
      </w:r>
      <w:r w:rsidRPr="00A77BD5">
        <w:rPr>
          <w:rFonts w:ascii="Times New Roman" w:hAnsi="Times New Roman"/>
        </w:rPr>
        <w:t xml:space="preserve"> among five ASEAN central banks. The global crisis twice induced capacity expansion and institution creation in the CMI. In 2009, CMI was ‘</w:t>
      </w:r>
      <w:proofErr w:type="spellStart"/>
      <w:r w:rsidRPr="00A77BD5">
        <w:rPr>
          <w:rFonts w:ascii="Times New Roman" w:hAnsi="Times New Roman"/>
        </w:rPr>
        <w:t>multilateralized</w:t>
      </w:r>
      <w:proofErr w:type="spellEnd"/>
      <w:r w:rsidRPr="00A77BD5">
        <w:rPr>
          <w:rFonts w:ascii="Times New Roman" w:hAnsi="Times New Roman"/>
        </w:rPr>
        <w:t xml:space="preserve">’ and renamed the CMIM. Decisions on disbursing funds from a US$120 billion virtual currency pool would be made collectively. </w:t>
      </w:r>
      <w:proofErr w:type="spellStart"/>
      <w:r w:rsidRPr="00A77BD5">
        <w:rPr>
          <w:rFonts w:ascii="Times New Roman" w:hAnsi="Times New Roman"/>
        </w:rPr>
        <w:t>Multilateralization</w:t>
      </w:r>
      <w:proofErr w:type="spellEnd"/>
      <w:r w:rsidRPr="00A77BD5">
        <w:rPr>
          <w:rFonts w:ascii="Times New Roman" w:hAnsi="Times New Roman"/>
        </w:rPr>
        <w:t xml:space="preserve"> involved creation of an independent secretariat</w:t>
      </w:r>
      <w:r w:rsidR="00AF36D9" w:rsidRPr="00A77BD5">
        <w:rPr>
          <w:rFonts w:ascii="Times New Roman" w:hAnsi="Times New Roman"/>
        </w:rPr>
        <w:t>-</w:t>
      </w:r>
      <w:r w:rsidRPr="00A77BD5">
        <w:rPr>
          <w:rFonts w:ascii="Times New Roman" w:hAnsi="Times New Roman"/>
        </w:rPr>
        <w:t>cum</w:t>
      </w:r>
      <w:r w:rsidR="00AF36D9" w:rsidRPr="00A77BD5">
        <w:rPr>
          <w:rFonts w:ascii="Times New Roman" w:hAnsi="Times New Roman"/>
        </w:rPr>
        <w:t>-</w:t>
      </w:r>
      <w:r w:rsidRPr="00A77BD5">
        <w:rPr>
          <w:rFonts w:ascii="Times New Roman" w:hAnsi="Times New Roman"/>
        </w:rPr>
        <w:t xml:space="preserve">regional surveillance unit, the ASEAN+3 Macroeconomic Research Office (AMRO), which began operations in 2012. </w:t>
      </w:r>
      <w:proofErr w:type="spellStart"/>
      <w:r w:rsidRPr="00A77BD5">
        <w:rPr>
          <w:rFonts w:ascii="Times New Roman" w:hAnsi="Times New Roman"/>
        </w:rPr>
        <w:t>Multilateralization</w:t>
      </w:r>
      <w:proofErr w:type="spellEnd"/>
      <w:r w:rsidRPr="00A77BD5">
        <w:rPr>
          <w:rFonts w:ascii="Times New Roman" w:hAnsi="Times New Roman"/>
        </w:rPr>
        <w:t xml:space="preserve"> also involved an agreement on voting weights that reflects the region’s delicate </w:t>
      </w:r>
      <w:r w:rsidR="00116B54" w:rsidRPr="00A77BD5">
        <w:rPr>
          <w:rFonts w:ascii="Times New Roman" w:hAnsi="Times New Roman"/>
        </w:rPr>
        <w:t xml:space="preserve">power </w:t>
      </w:r>
      <w:r w:rsidRPr="00A77BD5">
        <w:rPr>
          <w:rFonts w:ascii="Times New Roman" w:hAnsi="Times New Roman"/>
        </w:rPr>
        <w:t xml:space="preserve">dynamics. Assistance through CMIM above a certain threshold requires that a borrower be under an IMF program. The threshold for IMF involvement has been raised several times (beginning in 2005), </w:t>
      </w:r>
      <w:r w:rsidR="00583534" w:rsidRPr="00A77BD5">
        <w:rPr>
          <w:rFonts w:ascii="Times New Roman" w:hAnsi="Times New Roman"/>
        </w:rPr>
        <w:t>indicating growing relative autonomy of CMIM</w:t>
      </w:r>
      <w:r w:rsidRPr="00A77BD5">
        <w:rPr>
          <w:rFonts w:ascii="Times New Roman" w:hAnsi="Times New Roman"/>
        </w:rPr>
        <w:t xml:space="preserve">. </w:t>
      </w:r>
    </w:p>
    <w:p w14:paraId="77B860C6" w14:textId="64E810D4"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As the </w:t>
      </w:r>
      <w:r w:rsidR="00614E3C" w:rsidRPr="00A77BD5">
        <w:rPr>
          <w:rFonts w:ascii="Times New Roman" w:hAnsi="Times New Roman"/>
        </w:rPr>
        <w:t xml:space="preserve">GFC </w:t>
      </w:r>
      <w:r w:rsidRPr="00A77BD5">
        <w:rPr>
          <w:rFonts w:ascii="Times New Roman" w:hAnsi="Times New Roman"/>
        </w:rPr>
        <w:t xml:space="preserve">worsened, CMIM members increased the capacity of the arrangement and attempted to address </w:t>
      </w:r>
      <w:r w:rsidR="00583534" w:rsidRPr="00A77BD5">
        <w:rPr>
          <w:rFonts w:ascii="Times New Roman" w:hAnsi="Times New Roman"/>
        </w:rPr>
        <w:t xml:space="preserve">perceived </w:t>
      </w:r>
      <w:r w:rsidRPr="00A77BD5">
        <w:rPr>
          <w:rFonts w:ascii="Times New Roman" w:hAnsi="Times New Roman"/>
        </w:rPr>
        <w:t>inadequacies. In 2012, CMIM members doubled the amount of f</w:t>
      </w:r>
      <w:r w:rsidR="00BF66F6">
        <w:rPr>
          <w:rFonts w:ascii="Times New Roman" w:hAnsi="Times New Roman"/>
        </w:rPr>
        <w:t xml:space="preserve">unding that they committed, </w:t>
      </w:r>
      <w:r w:rsidR="00133F58" w:rsidRPr="00A77BD5">
        <w:rPr>
          <w:rFonts w:ascii="Times New Roman" w:hAnsi="Times New Roman"/>
        </w:rPr>
        <w:t xml:space="preserve">lengthened the </w:t>
      </w:r>
      <w:r w:rsidRPr="00A77BD5">
        <w:rPr>
          <w:rFonts w:ascii="Times New Roman" w:hAnsi="Times New Roman"/>
        </w:rPr>
        <w:t xml:space="preserve">maturity of the IMF-linked and delinked swaps, and </w:t>
      </w:r>
      <w:r w:rsidR="00133F58" w:rsidRPr="00A77BD5">
        <w:rPr>
          <w:rFonts w:ascii="Times New Roman" w:hAnsi="Times New Roman"/>
        </w:rPr>
        <w:t xml:space="preserve">introduced </w:t>
      </w:r>
      <w:r w:rsidRPr="00A77BD5">
        <w:rPr>
          <w:rFonts w:ascii="Times New Roman" w:hAnsi="Times New Roman"/>
        </w:rPr>
        <w:t>a precautionary lending window. Support through this window is to come without strict ex ante conditionality, though recipients are expected to pursue what is vaguely termed ‘responsible’ macroeconomic management. The threshold for IMF involvement was raised to 30% in 2012 with a plan to inc</w:t>
      </w:r>
      <w:r w:rsidR="00BF66F6">
        <w:rPr>
          <w:rFonts w:ascii="Times New Roman" w:hAnsi="Times New Roman"/>
        </w:rPr>
        <w:t xml:space="preserve">rease it to 40%. </w:t>
      </w:r>
      <w:r w:rsidRPr="00A77BD5">
        <w:rPr>
          <w:rFonts w:ascii="Times New Roman" w:hAnsi="Times New Roman"/>
        </w:rPr>
        <w:t xml:space="preserve">However, the move to 40% stalled after discussion at ASEAN’s 2017 and 2018 meetings, underscoring enduring </w:t>
      </w:r>
      <w:r w:rsidR="00EA6132" w:rsidRPr="00A77BD5">
        <w:rPr>
          <w:rFonts w:ascii="Times New Roman" w:hAnsi="Times New Roman"/>
        </w:rPr>
        <w:t>Japan</w:t>
      </w:r>
      <w:r w:rsidR="00BC774D" w:rsidRPr="00A77BD5">
        <w:rPr>
          <w:rFonts w:ascii="Times New Roman" w:hAnsi="Times New Roman"/>
        </w:rPr>
        <w:t>es</w:t>
      </w:r>
      <w:r w:rsidR="00E92F02" w:rsidRPr="00A77BD5">
        <w:rPr>
          <w:rFonts w:ascii="Times New Roman" w:hAnsi="Times New Roman"/>
        </w:rPr>
        <w:t>e</w:t>
      </w:r>
      <w:r w:rsidR="00EA6132" w:rsidRPr="00A77BD5">
        <w:rPr>
          <w:rFonts w:ascii="Times New Roman" w:hAnsi="Times New Roman"/>
        </w:rPr>
        <w:t xml:space="preserve"> and especially Chin</w:t>
      </w:r>
      <w:r w:rsidR="00BC774D" w:rsidRPr="00A77BD5">
        <w:rPr>
          <w:rFonts w:ascii="Times New Roman" w:hAnsi="Times New Roman"/>
        </w:rPr>
        <w:t>ese</w:t>
      </w:r>
      <w:r w:rsidR="00EA6132" w:rsidRPr="00A77BD5">
        <w:rPr>
          <w:rFonts w:ascii="Times New Roman" w:hAnsi="Times New Roman"/>
        </w:rPr>
        <w:t xml:space="preserve"> </w:t>
      </w:r>
      <w:r w:rsidR="00BC774D" w:rsidRPr="00A77BD5">
        <w:rPr>
          <w:rFonts w:ascii="Times New Roman" w:hAnsi="Times New Roman"/>
        </w:rPr>
        <w:t>concerns</w:t>
      </w:r>
      <w:r w:rsidRPr="00A77BD5">
        <w:rPr>
          <w:rFonts w:ascii="Times New Roman" w:hAnsi="Times New Roman"/>
        </w:rPr>
        <w:t xml:space="preserve">.  For </w:t>
      </w:r>
      <w:proofErr w:type="spellStart"/>
      <w:r w:rsidRPr="00A77BD5">
        <w:rPr>
          <w:rFonts w:ascii="Times New Roman" w:hAnsi="Times New Roman"/>
        </w:rPr>
        <w:t>futilists</w:t>
      </w:r>
      <w:proofErr w:type="spellEnd"/>
      <w:r w:rsidRPr="00A77BD5">
        <w:rPr>
          <w:rFonts w:ascii="Times New Roman" w:hAnsi="Times New Roman"/>
        </w:rPr>
        <w:t xml:space="preserve"> the resilience of the IMF link is indicative of the </w:t>
      </w:r>
      <w:r w:rsidR="00642FD3" w:rsidRPr="00A77BD5">
        <w:rPr>
          <w:rFonts w:ascii="Times New Roman" w:hAnsi="Times New Roman"/>
        </w:rPr>
        <w:t xml:space="preserve">weak </w:t>
      </w:r>
      <w:r w:rsidRPr="00A77BD5">
        <w:rPr>
          <w:rFonts w:ascii="Times New Roman" w:hAnsi="Times New Roman"/>
        </w:rPr>
        <w:t xml:space="preserve">prospects for independence from the BWIs and suggests that members are unlikely to draw on CMIM resources </w:t>
      </w:r>
      <w:r w:rsidR="00891F56">
        <w:rPr>
          <w:rFonts w:ascii="Times New Roman" w:hAnsi="Times New Roman"/>
        </w:rPr>
        <w:fldChar w:fldCharType="begin"/>
      </w:r>
      <w:r w:rsidR="00891F56">
        <w:rPr>
          <w:rFonts w:ascii="Times New Roman" w:hAnsi="Times New Roman"/>
        </w:rPr>
        <w:instrText xml:space="preserve"> ADDIN EN.CITE &lt;EndNote&gt;&lt;Cite&gt;&lt;Author&gt;Henning&lt;/Author&gt;&lt;Year&gt;2018&lt;/Year&gt;&lt;RecNum&gt;1965&lt;/RecNum&gt;&lt;Prefix&gt;e.g. &lt;/Prefix&gt;&lt;DisplayText&gt;(e.g. Henning 2018, Kring and Grimes 2018)&lt;/DisplayText&gt;&lt;record&gt;&lt;rec-number&gt;1965&lt;/rec-number&gt;&lt;foreign-keys&gt;&lt;key app="EN" db-id="x2xf5e95kefpz8e59fcx5psgerr9wepetvet" timestamp="1532982898"&gt;1965&lt;/key&gt;&lt;/foreign-keys&gt;&lt;ref-type name="Report"&gt;27&lt;/ref-type&gt;&lt;contributors&gt;&lt;authors&gt;&lt;author&gt;Henning, C. Randall&lt;/author&gt;&lt;/authors&gt;&lt;/contributors&gt;&lt;titles&gt;&lt;title&gt;&lt;style face="normal" font="default" size="100%"&gt;Regime Complexity and the Institutions of Crisis and Development Finance, submitted for consideration in special issue of &lt;/style&gt;&lt;style face="italic" font="default" size="100%"&gt;Development and Change&lt;/style&gt;&lt;/title&gt;&lt;/titles&gt;&lt;dates&gt;&lt;year&gt;2018&lt;/year&gt;&lt;/dates&gt;&lt;urls&gt;&lt;/urls&gt;&lt;/record&gt;&lt;/Cite&gt;&lt;Cite&gt;&lt;Author&gt;Kring&lt;/Author&gt;&lt;Year&gt;2018&lt;/Year&gt;&lt;RecNum&gt;1962&lt;/RecNum&gt;&lt;record&gt;&lt;rec-number&gt;1962&lt;/rec-number&gt;&lt;foreign-keys&gt;&lt;key app="EN" db-id="x2xf5e95kefpz8e59fcx5psgerr9wepetvet" timestamp="1532982662"&gt;1962&lt;/key&gt;&lt;/foreign-keys&gt;&lt;ref-type name="Report"&gt;27&lt;/ref-type&gt;&lt;contributors&gt;&lt;authors&gt;&lt;author&gt;Kring, Wiilam&lt;/author&gt;&lt;author&gt;Grimes, William&lt;/author&gt;&lt;/authors&gt;&lt;/contributors&gt;&lt;titles&gt;&lt;title&gt;&lt;style face="normal" font="default" size="100%"&gt;Leaving the Nest: The Rise of Regional Financial Arrangements and the Future of Global Governance,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(e.g. Henning 2018, Kring and Grimes 2018)</w:t>
      </w:r>
      <w:r w:rsidR="00891F56">
        <w:rPr>
          <w:rFonts w:ascii="Times New Roman" w:hAnsi="Times New Roman"/>
        </w:rPr>
        <w:fldChar w:fldCharType="end"/>
      </w:r>
      <w:r w:rsidR="00DB79CB" w:rsidRPr="00A77BD5">
        <w:rPr>
          <w:rFonts w:ascii="Times New Roman" w:hAnsi="Times New Roman"/>
        </w:rPr>
        <w:t>.</w:t>
      </w:r>
    </w:p>
    <w:p w14:paraId="776580BD" w14:textId="5060B156"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Surveillance capacity through AMRO has evolved gradually. AMRO completes an annual surveillance paper on each member. The IMF participates in key AMRO meetings; AMRO reached an agreement with the IMF to observe its meetings with individual countries; IMF staff have ‘outreach and dialogue’ with AMRO </w:t>
      </w:r>
      <w:r w:rsidR="00891F56">
        <w:rPr>
          <w:rFonts w:ascii="Times New Roman" w:hAnsi="Times New Roman"/>
        </w:rPr>
        <w:fldChar w:fldCharType="begin"/>
      </w:r>
      <w:r w:rsidR="00891F56">
        <w:rPr>
          <w:rFonts w:ascii="Times New Roman" w:hAnsi="Times New Roman"/>
        </w:rPr>
        <w:instrText xml:space="preserve"> ADDIN EN.CITE &lt;EndNote&gt;&lt;Cite&gt;&lt;Author&gt;Miyoshi&lt;/Author&gt;&lt;Year&gt;2013&lt;/Year&gt;&lt;RecNum&gt;500&lt;/RecNum&gt;&lt;Pages&gt;fn25&lt;/Pages&gt;&lt;DisplayText&gt;(Miyoshi 2013, fn25)&lt;/DisplayText&gt;&lt;record&gt;&lt;rec-number&gt;500&lt;/rec-number&gt;&lt;foreign-keys&gt;&lt;key app="EN" db-id="x2xf5e95kefpz8e59fcx5psgerr9wepetvet" timestamp="1408125233"&gt;500&lt;/key&gt;&lt;/foreign-keys&gt;&lt;ref-type name="Report"&gt;27&lt;/ref-type&gt;&lt;contributors&gt;&lt;authors&gt;&lt;author&gt;Miyoshi, Toshiyuki&lt;/author&gt;&lt;/authors&gt;&lt;/contributors&gt;&lt;titles&gt;&lt;title&gt;Stocktaking the Fund&amp;apos;s Engagement with Regional Financing Arrangements. Washington, DC: International Monetary Fund, April 11. https://www.imf.org/external/np/pp/eng/2013/041113b.pdf&lt;/title&gt;&lt;/titles&gt;&lt;dates&gt;&lt;year&gt;2013&lt;/year&gt;&lt;/dates&gt;&lt;urls&gt;&lt;/urls&gt;&lt;/record&gt;&lt;/Cite&gt;&lt;/EndNote&gt;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(Miyoshi 2013, fn25)</w:t>
      </w:r>
      <w:r w:rsidR="00891F56">
        <w:rPr>
          <w:rFonts w:ascii="Times New Roman" w:hAnsi="Times New Roman"/>
        </w:rPr>
        <w:fldChar w:fldCharType="end"/>
      </w:r>
      <w:r w:rsidRPr="00A77BD5">
        <w:rPr>
          <w:rFonts w:ascii="Times New Roman" w:hAnsi="Times New Roman"/>
        </w:rPr>
        <w:t xml:space="preserve">; and central bank governors and finance ministers meet at AMRO. These processes could enhance the capabilities of AMRO staff to conduct surveillance independent of the IMF. Moreover, the relationships developing between AMRO and IMF staff could render the IMF link more palatable should AMRO be seen to </w:t>
      </w:r>
      <w:r w:rsidR="00913168" w:rsidRPr="00A77BD5">
        <w:rPr>
          <w:rFonts w:ascii="Times New Roman" w:hAnsi="Times New Roman"/>
        </w:rPr>
        <w:t>represent members</w:t>
      </w:r>
      <w:r w:rsidRPr="00A77BD5">
        <w:rPr>
          <w:rFonts w:ascii="Times New Roman" w:hAnsi="Times New Roman"/>
        </w:rPr>
        <w:t xml:space="preserve"> wi</w:t>
      </w:r>
      <w:r w:rsidR="0068210D" w:rsidRPr="00A77BD5">
        <w:rPr>
          <w:rFonts w:ascii="Times New Roman" w:hAnsi="Times New Roman"/>
        </w:rPr>
        <w:t xml:space="preserve">th the IMF in an effective </w:t>
      </w:r>
      <w:r w:rsidRPr="00A77BD5">
        <w:rPr>
          <w:rFonts w:ascii="Times New Roman" w:hAnsi="Times New Roman"/>
        </w:rPr>
        <w:t xml:space="preserve">manner.  </w:t>
      </w:r>
    </w:p>
    <w:p w14:paraId="0C08D9C2" w14:textId="60CE3196"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It would be naïve to imagine that the CMIM will take the </w:t>
      </w:r>
      <w:r w:rsidR="005B157F" w:rsidRPr="00A77BD5">
        <w:rPr>
          <w:rFonts w:ascii="Times New Roman" w:hAnsi="Times New Roman"/>
        </w:rPr>
        <w:t xml:space="preserve">IMF’s </w:t>
      </w:r>
      <w:r w:rsidRPr="00A77BD5">
        <w:rPr>
          <w:rFonts w:ascii="Times New Roman" w:hAnsi="Times New Roman"/>
        </w:rPr>
        <w:t xml:space="preserve">place in the region. It is explicitly not intended to do so. But this hardly suggests that the CMIM is fated to remain marginal. The key is to recognize complementarities that can enhance the CMIM’s influence and relative autonomy over time in ways that promote regional financial stability. For instance, large national reserves in CMIM countries, alongside CMIM’s financial resources, create productive redundancy in the global and regional safety nets, with potential benefits to global financial resilience. Smaller CMIM members may also benefit from the opportunity for forum shopping during crises that </w:t>
      </w:r>
      <w:r w:rsidR="008440CA" w:rsidRPr="00A77BD5">
        <w:rPr>
          <w:rFonts w:ascii="Times New Roman" w:hAnsi="Times New Roman"/>
        </w:rPr>
        <w:t>CMIM</w:t>
      </w:r>
      <w:r w:rsidRPr="00A77BD5">
        <w:rPr>
          <w:rFonts w:ascii="Times New Roman" w:hAnsi="Times New Roman"/>
        </w:rPr>
        <w:t xml:space="preserve"> afford</w:t>
      </w:r>
      <w:r w:rsidR="008440CA" w:rsidRPr="00A77BD5">
        <w:rPr>
          <w:rFonts w:ascii="Times New Roman" w:hAnsi="Times New Roman"/>
        </w:rPr>
        <w:t>s</w:t>
      </w:r>
      <w:r w:rsidRPr="00A77BD5">
        <w:rPr>
          <w:rFonts w:ascii="Times New Roman" w:hAnsi="Times New Roman"/>
        </w:rPr>
        <w:t xml:space="preserve">. Moreover, IMF-linked swaps through CMIM might be associated with adjustment programs that look substantially different from those negotiated when AMRO officials do not </w:t>
      </w:r>
      <w:r w:rsidR="008440CA" w:rsidRPr="00A77BD5">
        <w:rPr>
          <w:rFonts w:ascii="Times New Roman" w:hAnsi="Times New Roman"/>
        </w:rPr>
        <w:t xml:space="preserve">sit </w:t>
      </w:r>
      <w:r w:rsidRPr="00A77BD5">
        <w:rPr>
          <w:rFonts w:ascii="Times New Roman" w:hAnsi="Times New Roman"/>
        </w:rPr>
        <w:t xml:space="preserve">at the table with the IMF. If AMRO is ultimately unable to acquire influence over the IMF, CMIM and AMRO officials might </w:t>
      </w:r>
      <w:r w:rsidR="005B157F" w:rsidRPr="00A77BD5">
        <w:rPr>
          <w:rFonts w:ascii="Times New Roman" w:hAnsi="Times New Roman"/>
        </w:rPr>
        <w:t>be motivated</w:t>
      </w:r>
      <w:r w:rsidRPr="00A77BD5">
        <w:rPr>
          <w:rFonts w:ascii="Times New Roman" w:hAnsi="Times New Roman"/>
        </w:rPr>
        <w:t xml:space="preserve"> to weaken the IMF link. </w:t>
      </w:r>
    </w:p>
    <w:p w14:paraId="4A96AE22" w14:textId="66D7E0E2" w:rsidR="00E8035C" w:rsidRPr="00A77BD5" w:rsidRDefault="00E8035C" w:rsidP="004F7552">
      <w:pPr>
        <w:spacing w:line="360" w:lineRule="auto"/>
        <w:ind w:firstLine="720"/>
        <w:rPr>
          <w:rStyle w:val="CommentReference"/>
          <w:rFonts w:ascii="Times New Roman" w:hAnsi="Times New Roman"/>
          <w:sz w:val="24"/>
          <w:szCs w:val="24"/>
        </w:rPr>
      </w:pPr>
      <w:r w:rsidRPr="00A77BD5">
        <w:rPr>
          <w:rFonts w:ascii="Times New Roman" w:hAnsi="Times New Roman"/>
        </w:rPr>
        <w:t>If the GFC reveals anything, it is that unexpected developments happen when the need and motivation arises.</w:t>
      </w:r>
      <w:r w:rsidRPr="00A77BD5">
        <w:rPr>
          <w:rStyle w:val="FootnoteReference"/>
          <w:rFonts w:ascii="Times New Roman" w:hAnsi="Times New Roman"/>
        </w:rPr>
        <w:footnoteReference w:id="5"/>
      </w:r>
      <w:r w:rsidR="008440CA" w:rsidRPr="00A77BD5">
        <w:rPr>
          <w:rFonts w:ascii="Times New Roman" w:hAnsi="Times New Roman"/>
        </w:rPr>
        <w:t xml:space="preserve"> D</w:t>
      </w:r>
      <w:r w:rsidRPr="00A77BD5">
        <w:rPr>
          <w:rFonts w:ascii="Times New Roman" w:hAnsi="Times New Roman"/>
        </w:rPr>
        <w:t xml:space="preserve">ecisions made in 2009 and 2012 and on-going discussions in CMIM and AMRO reveal dynamism and a commitment to </w:t>
      </w:r>
      <w:proofErr w:type="spellStart"/>
      <w:r w:rsidRPr="00A77BD5">
        <w:rPr>
          <w:rFonts w:ascii="Times New Roman" w:hAnsi="Times New Roman"/>
        </w:rPr>
        <w:t>Hirschmanian</w:t>
      </w:r>
      <w:proofErr w:type="spellEnd"/>
      <w:r w:rsidRPr="00A77BD5">
        <w:rPr>
          <w:rFonts w:ascii="Times New Roman" w:hAnsi="Times New Roman"/>
        </w:rPr>
        <w:t xml:space="preserve"> experimentation and problem solving, willingness to undertake institutional creation and expansion, and policymakers’ appetite to build out CMIM and AMRO’s boundaries. CMIM is part of an evolving liquidity-support architecture within which its contributions could be consequential. It is not (yet) intended to substitute for other institutions, but the learning by doing, trust, bargaining, relationships and network creation by officials that takes place through CMIM (even</w:t>
      </w:r>
      <w:r w:rsidR="000E55D1" w:rsidRPr="00A77BD5">
        <w:rPr>
          <w:rFonts w:ascii="Times New Roman" w:hAnsi="Times New Roman"/>
        </w:rPr>
        <w:t xml:space="preserve"> absent</w:t>
      </w:r>
      <w:r w:rsidRPr="00A77BD5">
        <w:rPr>
          <w:rFonts w:ascii="Times New Roman" w:hAnsi="Times New Roman"/>
        </w:rPr>
        <w:t xml:space="preserve"> disbursements</w:t>
      </w:r>
      <w:r w:rsidR="007D737A">
        <w:rPr>
          <w:rFonts w:ascii="Times New Roman" w:hAnsi="Times New Roman"/>
        </w:rPr>
        <w:t xml:space="preserve"> to date</w:t>
      </w:r>
      <w:r w:rsidRPr="00A77BD5">
        <w:rPr>
          <w:rFonts w:ascii="Times New Roman" w:hAnsi="Times New Roman"/>
        </w:rPr>
        <w:t xml:space="preserve">) may create the conditions for more significant cooperation and further institutional development in this and other regions during future crises. The identities and practices of institutions often evolve in ways that were not anticipated by their founders, especially when they start at a manageable scale and develop in line with expanding internal resources and challenges. CMIM and AMRO seem to be evolving in these ways. </w:t>
      </w:r>
    </w:p>
    <w:p w14:paraId="11A33335" w14:textId="450C9CDA"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The costs of the EU’s failure to address regional surveillance and the Troika’s heavy-handedness were not lost on CMIM members as they deepened the arrangement in 2012. Indeed, a study of ‘Troika Financial Assistance Programs in the Euro Area for CMIM’s Future Reference’ </w:t>
      </w:r>
      <w:r w:rsidR="00891F56">
        <w:rPr>
          <w:rFonts w:ascii="Times New Roman" w:hAnsi="Times New Roman"/>
        </w:rPr>
        <w:fldChar w:fldCharType="begin"/>
      </w:r>
      <w:r w:rsidR="00891F56">
        <w:rPr>
          <w:rFonts w:ascii="Times New Roman" w:hAnsi="Times New Roman"/>
        </w:rPr>
        <w:instrText xml:space="preserve"> ADDIN EN.CITE &lt;EndNote&gt;&lt;Cite&gt;&lt;Author&gt;ASEAN&lt;/Author&gt;&lt;Year&gt;2016&lt;/Year&gt;&lt;RecNum&gt;1711&lt;/RecNum&gt;&lt;DisplayText&gt;(ASEAN 2016)&lt;/DisplayText&gt;&lt;record&gt;&lt;rec-number&gt;1711&lt;/rec-number&gt;&lt;foreign-keys&gt;&lt;key app="EN" db-id="x2xf5e95kefpz8e59fcx5psgerr9wepetvet" timestamp="1475503569"&gt;1711&lt;/key&gt;&lt;/foreign-keys&gt;&lt;ref-type name="Report"&gt;27&lt;/ref-type&gt;&lt;contributors&gt;&lt;authors&gt;&lt;author&gt;ASEAN&lt;/author&gt;&lt;/authors&gt;&lt;/contributors&gt;&lt;titles&gt;&lt;title&gt;Joint Statement of the 19th ASEAN+3 Finance Ministers&amp;apos; and Central Bank Governors&amp;apos; Meeting. Frankfurt, 3 May. http://asean.org/joint-statement-19th-asean3-finance-ministers-central-bank-governors-meeting-3-may-2016-frankfurt-germany/&lt;/title&gt;&lt;/titles&gt;&lt;dates&gt;&lt;year&gt;2016&lt;/year&gt;&lt;/dates&gt;&lt;urls&gt;&lt;/urls&gt;&lt;/record&gt;&lt;/Cite&gt;&lt;/EndNote&gt;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(ASEAN 2016)</w:t>
      </w:r>
      <w:r w:rsidR="00891F56">
        <w:rPr>
          <w:rFonts w:ascii="Times New Roman" w:hAnsi="Times New Roman"/>
        </w:rPr>
        <w:fldChar w:fldCharType="end"/>
      </w:r>
      <w:r w:rsidRPr="00A77BD5">
        <w:rPr>
          <w:rFonts w:ascii="Times New Roman" w:hAnsi="Times New Roman"/>
        </w:rPr>
        <w:t xml:space="preserve"> was completed in 2016 under CMIM’s auspice. This is consistent with learning from others, as per Hirschman. CMIM and AMRO began in 2016 to conduct ‘test runs’ involving IMF linked and delinked funds</w:t>
      </w:r>
      <w:r w:rsidR="00290FA6"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&lt;EndNote&gt;&lt;Cite&gt;&lt;Author&gt;ASEAN&lt;/Author&gt;&lt;Year&gt;2016&lt;/Year&gt;&lt;RecNum&gt;1711&lt;/RecNum&gt;&lt;DisplayText&gt;(ASEAN 2016)&lt;/DisplayText&gt;&lt;record&gt;&lt;rec-number&gt;1711&lt;/rec-number&gt;&lt;foreign-keys&gt;&lt;key app="EN" db-id="x2xf5e95kefpz8e59fcx5psgerr9wepetvet" timestamp="1475503569"&gt;1711&lt;/key&gt;&lt;/foreign-keys&gt;&lt;ref-type name="Report"&gt;27&lt;/ref-type&gt;&lt;contributors&gt;&lt;authors&gt;&lt;author&gt;ASEAN&lt;/author&gt;&lt;/authors&gt;&lt;/contributors&gt;&lt;titles&gt;&lt;title&gt;Joint Statement of the 19th ASEAN+3 Finance Ministers&amp;apos; and Central Bank Governors&amp;apos; Meeting. Frankfurt, 3 May. http://asean.org/joint-statement-19th-asean3-finance-ministers-central-bank-governors-meeting-3-may-2016-frankfurt-germany/&lt;/title&gt;&lt;/titles&gt;&lt;dates&gt;&lt;year&gt;2016&lt;/year&gt;&lt;/dates&gt;&lt;urls&gt;&lt;/urls&gt;&lt;/record&gt;&lt;/Cite&gt;&lt;/EndNote&gt;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(ASEAN 2016)</w:t>
      </w:r>
      <w:r w:rsidR="00891F56">
        <w:rPr>
          <w:rFonts w:ascii="Times New Roman" w:hAnsi="Times New Roman"/>
        </w:rPr>
        <w:fldChar w:fldCharType="end"/>
      </w:r>
      <w:r w:rsidRPr="00A77BD5">
        <w:rPr>
          <w:rFonts w:ascii="Times New Roman" w:hAnsi="Times New Roman"/>
        </w:rPr>
        <w:t>. These tests revealed important inadequacies, which are being addressed.</w:t>
      </w:r>
      <w:r w:rsidRPr="00A77BD5">
        <w:rPr>
          <w:rStyle w:val="FootnoteReference"/>
          <w:rFonts w:ascii="Times New Roman" w:hAnsi="Times New Roman"/>
        </w:rPr>
        <w:footnoteReference w:id="6"/>
      </w:r>
      <w:r w:rsidRPr="00A77BD5">
        <w:rPr>
          <w:rFonts w:ascii="Times New Roman" w:hAnsi="Times New Roman"/>
        </w:rPr>
        <w:t xml:space="preserve"> CMIM and AMRO officials use test runs to identify operational and coordination difficulties that would become apparent during a crisis, which </w:t>
      </w:r>
      <w:r w:rsidR="000C162E" w:rsidRPr="00A77BD5">
        <w:rPr>
          <w:rFonts w:ascii="Times New Roman" w:hAnsi="Times New Roman"/>
        </w:rPr>
        <w:t xml:space="preserve">is consistent with </w:t>
      </w:r>
      <w:r w:rsidRPr="00A77BD5">
        <w:rPr>
          <w:rFonts w:ascii="Times New Roman" w:hAnsi="Times New Roman"/>
        </w:rPr>
        <w:t xml:space="preserve">experimentation and learning by doing. Moreover, CMIM has supported learning among EMDE officials. Latin American policymakers have watched CMIM closely </w:t>
      </w:r>
      <w:r w:rsidR="00891F56">
        <w:rPr>
          <w:rFonts w:ascii="Times New Roman" w:hAnsi="Times New Roman"/>
        </w:rPr>
        <w:fldChar w:fldCharType="begin"/>
      </w:r>
      <w:r w:rsidR="00891F56">
        <w:rPr>
          <w:rFonts w:ascii="Times New Roman" w:hAnsi="Times New Roman"/>
        </w:rPr>
        <w:instrText xml:space="preserve"> ADDIN EN.CITE &lt;EndNote&gt;&lt;Cite&gt;&lt;Author&gt;AsDB/IADB&lt;/Author&gt;&lt;Year&gt;2012&lt;/Year&gt;&lt;RecNum&gt;487&lt;/RecNum&gt;&lt;DisplayText&gt;(AsDB/IADB 2012)&lt;/DisplayText&gt;&lt;record&gt;&lt;rec-number&gt;487&lt;/rec-number&gt;&lt;foreign-keys&gt;&lt;key app="EN" db-id="x2xf5e95kefpz8e59fcx5psgerr9wepetvet" timestamp="1407263234"&gt;487&lt;/key&gt;&lt;/foreign-keys&gt;&lt;ref-type name="Book"&gt;6&lt;/ref-type&gt;&lt;contributors&gt;&lt;authors&gt;&lt;author&gt;AsDB/IADB,&lt;/author&gt;&lt;/authors&gt;&lt;/contributors&gt;&lt;titles&gt;&lt;title&gt;Shaping the Future of Asia-Latin American and the Caribbean Relationship&lt;/title&gt;&lt;/titles&gt;&lt;dates&gt;&lt;year&gt;2012&lt;/year&gt;&lt;/dates&gt;&lt;pub-location&gt;Manila&lt;/pub-location&gt;&lt;publisher&gt;Asian Development Bank, Inter-American Development Bank, and Asian Development Bank Institute&lt;/publisher&gt;&lt;urls&gt;&lt;related-urls&gt;&lt;url&gt;https://www.adb.org/publications/shaping-future-asia-latin-america-and-caribbean-relationship&lt;/url&gt;&lt;/related-urls&gt;&lt;/urls&gt;&lt;/record&gt;&lt;/Cite&gt;&lt;/EndNote&gt;</w:instrText>
      </w:r>
      <w:r w:rsidR="00891F56">
        <w:rPr>
          <w:rFonts w:ascii="Times New Roman" w:hAnsi="Times New Roman"/>
        </w:rPr>
        <w:fldChar w:fldCharType="separate"/>
      </w:r>
      <w:r w:rsidR="00891F56">
        <w:rPr>
          <w:rFonts w:ascii="Times New Roman" w:hAnsi="Times New Roman"/>
          <w:noProof/>
        </w:rPr>
        <w:t>(AsDB/IADB 2012)</w:t>
      </w:r>
      <w:r w:rsidR="00891F56">
        <w:rPr>
          <w:rFonts w:ascii="Times New Roman" w:hAnsi="Times New Roman"/>
        </w:rPr>
        <w:fldChar w:fldCharType="end"/>
      </w:r>
      <w:r w:rsidRPr="00A77BD5">
        <w:rPr>
          <w:rFonts w:ascii="Times New Roman" w:hAnsi="Times New Roman"/>
        </w:rPr>
        <w:t>. CMIM inspired the decision by the BRICS to launch a similar initia</w:t>
      </w:r>
      <w:r w:rsidR="0018401F" w:rsidRPr="00A77BD5">
        <w:rPr>
          <w:rFonts w:ascii="Times New Roman" w:hAnsi="Times New Roman"/>
        </w:rPr>
        <w:t>tive</w:t>
      </w:r>
      <w:r w:rsidRPr="00A77BD5">
        <w:rPr>
          <w:rFonts w:ascii="Times New Roman" w:hAnsi="Times New Roman"/>
        </w:rPr>
        <w:t xml:space="preserve">. Moreover, representatives from AMRO, the European Stability Mechanism, the Latin American Reserve Fund, the Arab Monetary Fund, the BRICS, the Eurasian Development Bank, the G-20, and the IMF met for the first time </w:t>
      </w:r>
      <w:r w:rsidR="009D3538" w:rsidRPr="00A77BD5">
        <w:rPr>
          <w:rFonts w:ascii="Times New Roman" w:hAnsi="Times New Roman"/>
        </w:rPr>
        <w:t xml:space="preserve">at </w:t>
      </w:r>
      <w:r w:rsidRPr="00A77BD5">
        <w:rPr>
          <w:rFonts w:ascii="Times New Roman" w:hAnsi="Times New Roman"/>
        </w:rPr>
        <w:t xml:space="preserve">the fall 2016 BWI meetings. These now annual meetings provide the basis for cooperation, dialogue, and deepening of crosscutting liquidity support networks that may impart important side effects. </w:t>
      </w:r>
    </w:p>
    <w:p w14:paraId="67991646" w14:textId="7AF0E383"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In sum, CMIM has evolved incrementally since 2000. The failure of the AMF laid the groundwork for the CMIM and AMRO. The GFC and Eurozone crisis have propelled further evolution. Members continue to engage in gradualist problem solving around surveillance, the IMF, and disbursal criteria. CMIM has deepened its connections to the IMF, US Federal Reserve, and New York Federal Reserve </w:t>
      </w:r>
      <w:r w:rsidR="00891F56">
        <w:rPr>
          <w:rFonts w:ascii="Times New Roman" w:hAnsi="Times New Roman"/>
        </w:rPr>
        <w:fldChar w:fldCharType="begin"/>
      </w:r>
      <w:r w:rsidR="00891F56">
        <w:rPr>
          <w:rFonts w:ascii="Times New Roman" w:hAnsi="Times New Roman"/>
        </w:rPr>
        <w:instrText xml:space="preserve"> ADDIN EN.CITE &lt;EndNote&gt;&lt;Cite&gt;&lt;Author&gt;Kring&lt;/Author&gt;&lt;Year&gt;2018&lt;/Year&gt;&lt;RecNum&gt;1962&lt;/RecNum&gt;&lt;DisplayText&gt;(Kring and Grimes 2018)&lt;/DisplayText&gt;&lt;record&gt;&lt;rec-number&gt;1962&lt;/rec-number&gt;&lt;foreign-keys&gt;&lt;key app="EN" db-id="x2xf5e95kefpz8e59fcx5psgerr9wepetvet" timestamp="1532982662"&gt;1962&lt;/key&gt;&lt;/foreign-keys&gt;&lt;ref-type name="Report"&gt;27&lt;/ref-type&gt;&lt;contributors&gt;&lt;authors&gt;&lt;author&gt;Kring, Wiilam&lt;/author&gt;&lt;author&gt;Grimes, William&lt;/author&gt;&lt;/authors&gt;&lt;/contributors&gt;&lt;titles&gt;&lt;title&gt;&lt;style face="normal" font="default" size="100%"&gt;Leaving the Nest: The Rise of Regional Financial Arrangements and the Future of Global Governance,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(Kring and Grimes 2018)</w:t>
      </w:r>
      <w:r w:rsidR="00891F56">
        <w:rPr>
          <w:rFonts w:ascii="Times New Roman" w:hAnsi="Times New Roman"/>
        </w:rPr>
        <w:fldChar w:fldCharType="end"/>
      </w:r>
      <w:r w:rsidRPr="00A77BD5">
        <w:rPr>
          <w:rFonts w:ascii="Times New Roman" w:hAnsi="Times New Roman"/>
        </w:rPr>
        <w:t xml:space="preserve">. This may be taken as </w:t>
      </w:r>
      <w:r w:rsidR="00E105F7" w:rsidRPr="00A77BD5">
        <w:rPr>
          <w:rFonts w:ascii="Times New Roman" w:hAnsi="Times New Roman"/>
        </w:rPr>
        <w:t xml:space="preserve">superficial </w:t>
      </w:r>
      <w:r w:rsidRPr="00A77BD5">
        <w:rPr>
          <w:rFonts w:ascii="Times New Roman" w:hAnsi="Times New Roman"/>
        </w:rPr>
        <w:t xml:space="preserve">proof of the </w:t>
      </w:r>
      <w:proofErr w:type="spellStart"/>
      <w:r w:rsidRPr="00A77BD5">
        <w:rPr>
          <w:rFonts w:ascii="Times New Roman" w:hAnsi="Times New Roman"/>
        </w:rPr>
        <w:t>futilist</w:t>
      </w:r>
      <w:proofErr w:type="spellEnd"/>
      <w:r w:rsidRPr="00A77BD5">
        <w:rPr>
          <w:rFonts w:ascii="Times New Roman" w:hAnsi="Times New Roman"/>
        </w:rPr>
        <w:t xml:space="preserve"> case, especially for those who see continuity in anything less than a clean break with the IMF. But CMIM and AMRO have also deepened linkages with other EMDE liquidity support institutions</w:t>
      </w:r>
      <w:r w:rsidR="00E105F7" w:rsidRPr="00A77BD5">
        <w:rPr>
          <w:rFonts w:ascii="Times New Roman" w:hAnsi="Times New Roman"/>
        </w:rPr>
        <w:t>, and in any event Hirschman would caution us to refrain from rushing to judgment</w:t>
      </w:r>
      <w:r w:rsidR="00223DF4" w:rsidRPr="00A77BD5">
        <w:rPr>
          <w:rFonts w:ascii="Times New Roman" w:hAnsi="Times New Roman"/>
        </w:rPr>
        <w:t xml:space="preserve"> in evaluating such initiatives.</w:t>
      </w:r>
    </w:p>
    <w:p w14:paraId="76F85A5C" w14:textId="77777777" w:rsidR="00E8035C" w:rsidRPr="00A77BD5" w:rsidRDefault="00E8035C" w:rsidP="004F7552">
      <w:pPr>
        <w:spacing w:line="360" w:lineRule="auto"/>
        <w:rPr>
          <w:rFonts w:ascii="Times New Roman" w:hAnsi="Times New Roman"/>
          <w:i/>
        </w:rPr>
      </w:pPr>
      <w:r w:rsidRPr="00A77BD5">
        <w:rPr>
          <w:rFonts w:ascii="Times New Roman" w:hAnsi="Times New Roman"/>
          <w:i/>
        </w:rPr>
        <w:t xml:space="preserve">Latin American Reserve Fund </w:t>
      </w:r>
    </w:p>
    <w:p w14:paraId="30AF80F2" w14:textId="1391F3BD" w:rsidR="00E8035C" w:rsidRPr="00A77BD5" w:rsidRDefault="00E8035C" w:rsidP="004F7552">
      <w:pPr>
        <w:spacing w:line="360" w:lineRule="auto"/>
        <w:rPr>
          <w:rFonts w:ascii="Times New Roman" w:hAnsi="Times New Roman"/>
        </w:rPr>
      </w:pPr>
      <w:r w:rsidRPr="00A77BD5">
        <w:rPr>
          <w:rFonts w:ascii="Times New Roman" w:hAnsi="Times New Roman"/>
        </w:rPr>
        <w:t xml:space="preserve">The </w:t>
      </w:r>
      <w:proofErr w:type="spellStart"/>
      <w:r w:rsidR="00BD3CA7" w:rsidRPr="00CB2922">
        <w:rPr>
          <w:rFonts w:ascii="Times New Roman" w:hAnsi="Times New Roman"/>
        </w:rPr>
        <w:t>Fondo</w:t>
      </w:r>
      <w:proofErr w:type="spellEnd"/>
      <w:r w:rsidR="00BD3CA7" w:rsidRPr="00CB2922">
        <w:rPr>
          <w:rFonts w:ascii="Times New Roman" w:hAnsi="Times New Roman"/>
        </w:rPr>
        <w:t xml:space="preserve"> </w:t>
      </w:r>
      <w:proofErr w:type="spellStart"/>
      <w:r w:rsidR="00BD3CA7" w:rsidRPr="00CB2922">
        <w:rPr>
          <w:rFonts w:ascii="Times New Roman" w:hAnsi="Times New Roman"/>
        </w:rPr>
        <w:t>Latinomericano</w:t>
      </w:r>
      <w:proofErr w:type="spellEnd"/>
      <w:r w:rsidR="00BD3CA7" w:rsidRPr="00CB2922">
        <w:rPr>
          <w:rFonts w:ascii="Times New Roman" w:hAnsi="Times New Roman"/>
        </w:rPr>
        <w:t xml:space="preserve"> </w:t>
      </w:r>
      <w:r w:rsidR="001A2C8A" w:rsidRPr="00CB2922">
        <w:rPr>
          <w:rFonts w:ascii="Times New Roman" w:hAnsi="Times New Roman"/>
        </w:rPr>
        <w:t xml:space="preserve">de </w:t>
      </w:r>
      <w:proofErr w:type="spellStart"/>
      <w:r w:rsidR="001A2C8A" w:rsidRPr="00CB2922">
        <w:rPr>
          <w:rFonts w:ascii="Times New Roman" w:hAnsi="Times New Roman"/>
        </w:rPr>
        <w:t>Reservas</w:t>
      </w:r>
      <w:proofErr w:type="spellEnd"/>
      <w:r w:rsidR="007F73CA">
        <w:rPr>
          <w:rFonts w:ascii="Times New Roman" w:hAnsi="Times New Roman"/>
        </w:rPr>
        <w:t xml:space="preserve"> (FLAR)--</w:t>
      </w:r>
      <w:r w:rsidRPr="00A77BD5">
        <w:rPr>
          <w:rFonts w:ascii="Times New Roman" w:hAnsi="Times New Roman"/>
        </w:rPr>
        <w:t xml:space="preserve">Latin American Reserve Fund was founded in 1978. Its geographic reach expanded in 1988. It is designed to respond to transitory liquidity issues in member states. Unlike the CMIM, voice has not been </w:t>
      </w:r>
      <w:r w:rsidR="00223DF4" w:rsidRPr="00A77BD5">
        <w:rPr>
          <w:rFonts w:ascii="Times New Roman" w:hAnsi="Times New Roman"/>
        </w:rPr>
        <w:t>contentious</w:t>
      </w:r>
      <w:r w:rsidRPr="00A77BD5">
        <w:rPr>
          <w:rFonts w:ascii="Times New Roman" w:hAnsi="Times New Roman"/>
        </w:rPr>
        <w:t xml:space="preserve">. Each member is assigned one vote. </w:t>
      </w:r>
      <w:r w:rsidR="00223DF4" w:rsidRPr="00A77BD5">
        <w:rPr>
          <w:rFonts w:ascii="Times New Roman" w:hAnsi="Times New Roman"/>
        </w:rPr>
        <w:t>FLAR</w:t>
      </w:r>
      <w:r w:rsidRPr="00A77BD5">
        <w:rPr>
          <w:rFonts w:ascii="Times New Roman" w:hAnsi="Times New Roman"/>
        </w:rPr>
        <w:t xml:space="preserve"> lending is not linked to the IMF. The FLAR’s inclusive governance and independence from the IMF contribute </w:t>
      </w:r>
      <w:r w:rsidR="006728DD" w:rsidRPr="00A77BD5">
        <w:rPr>
          <w:rFonts w:ascii="Times New Roman" w:hAnsi="Times New Roman"/>
        </w:rPr>
        <w:t xml:space="preserve">substantially </w:t>
      </w:r>
      <w:r w:rsidRPr="00A77BD5">
        <w:rPr>
          <w:rFonts w:ascii="Times New Roman" w:hAnsi="Times New Roman"/>
        </w:rPr>
        <w:t xml:space="preserve">to its legitimacy among members. </w:t>
      </w:r>
    </w:p>
    <w:p w14:paraId="57F291C3" w14:textId="1DE9FB1C" w:rsidR="00E8035C" w:rsidRPr="00A77BD5" w:rsidRDefault="00E8035C" w:rsidP="004F7552">
      <w:pPr>
        <w:spacing w:line="360" w:lineRule="auto"/>
        <w:ind w:firstLine="720"/>
        <w:rPr>
          <w:rFonts w:ascii="Times New Roman" w:hAnsi="Times New Roman"/>
        </w:rPr>
      </w:pPr>
      <w:r w:rsidRPr="00A77BD5">
        <w:rPr>
          <w:rFonts w:ascii="Times New Roman" w:hAnsi="Times New Roman"/>
        </w:rPr>
        <w:t>The FLAR has deepened its surveillance capabilities gradually. Since 2011, the FLAR has had a macroeconomic monitoring unit, the Division of Economic Studies, which reviews and monitors member performance and prospects. There is no conditionality in the traditional (IMF) sense.</w:t>
      </w:r>
      <w:r w:rsidRPr="00A77BD5">
        <w:rPr>
          <w:rStyle w:val="FootnoteReference"/>
          <w:rFonts w:ascii="Times New Roman" w:hAnsi="Times New Roman"/>
        </w:rPr>
        <w:footnoteReference w:id="7"/>
      </w:r>
      <w:r w:rsidRPr="00A77BD5">
        <w:rPr>
          <w:rFonts w:ascii="Times New Roman" w:hAnsi="Times New Roman"/>
        </w:rPr>
        <w:t xml:space="preserve">  Borrowers seeking support under some lending facilities have to present a plan to the institution’s Executive President. As part of its loan contract a borrowing country agrees not to impose measures that affect imports from FLAR members. </w:t>
      </w:r>
      <w:r w:rsidR="006728DD" w:rsidRPr="00A77BD5">
        <w:rPr>
          <w:rFonts w:ascii="Times New Roman" w:hAnsi="Times New Roman"/>
        </w:rPr>
        <w:t>To date t</w:t>
      </w:r>
      <w:r w:rsidRPr="00A77BD5">
        <w:rPr>
          <w:rFonts w:ascii="Times New Roman" w:hAnsi="Times New Roman"/>
        </w:rPr>
        <w:t xml:space="preserve">here have been no defaults on </w:t>
      </w:r>
      <w:r w:rsidR="006728DD" w:rsidRPr="00A77BD5">
        <w:rPr>
          <w:rFonts w:ascii="Times New Roman" w:hAnsi="Times New Roman"/>
        </w:rPr>
        <w:t>FL</w:t>
      </w:r>
      <w:r w:rsidR="00847E80" w:rsidRPr="00A77BD5">
        <w:rPr>
          <w:rFonts w:ascii="Times New Roman" w:hAnsi="Times New Roman"/>
        </w:rPr>
        <w:t>A</w:t>
      </w:r>
      <w:r w:rsidR="006728DD" w:rsidRPr="00A77BD5">
        <w:rPr>
          <w:rFonts w:ascii="Times New Roman" w:hAnsi="Times New Roman"/>
        </w:rPr>
        <w:t xml:space="preserve">R </w:t>
      </w:r>
      <w:r w:rsidRPr="00A77BD5">
        <w:rPr>
          <w:rFonts w:ascii="Times New Roman" w:hAnsi="Times New Roman"/>
        </w:rPr>
        <w:t xml:space="preserve">loans. The FLAR’s performance and cohesion is notable when we consider the political diversity that has long marked its membership. </w:t>
      </w:r>
    </w:p>
    <w:p w14:paraId="0FCEDB7B" w14:textId="142A81DF" w:rsidR="00E8035C" w:rsidRPr="00A77BD5" w:rsidRDefault="00E8035C" w:rsidP="004F7552">
      <w:pPr>
        <w:widowControl w:val="0"/>
        <w:autoSpaceDE w:val="0"/>
        <w:autoSpaceDN w:val="0"/>
        <w:adjustRightInd w:val="0"/>
        <w:spacing w:line="360" w:lineRule="auto"/>
        <w:ind w:firstLine="720"/>
        <w:rPr>
          <w:rFonts w:ascii="Times New Roman" w:hAnsi="Times New Roman"/>
        </w:rPr>
      </w:pPr>
      <w:r w:rsidRPr="00A77BD5">
        <w:rPr>
          <w:rFonts w:ascii="Times New Roman" w:hAnsi="Times New Roman"/>
        </w:rPr>
        <w:t>Over its lifetime the FLAR has lent to all but two of its members. In some cases the FLAR contributed stabilizing resources when the IMF did not or when members declined to engage the IMF</w:t>
      </w:r>
      <w:r w:rsidR="00792ECB"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&lt;EndNote&gt;&lt;Cite&gt;&lt;Author&gt;Ocampo&lt;/Author&gt;&lt;Year&gt;2015&lt;/Year&gt;&lt;RecNum&gt;1714&lt;/RecNum&gt;&lt;DisplayText&gt;(Ocampo 2015)&lt;/DisplayText&gt;&lt;record&gt;&lt;rec-number&gt;1714&lt;/rec-number&gt;&lt;foreign-keys&gt;&lt;key app="EN" db-id="x2xf5e95kefpz8e59fcx5psgerr9wepetvet" timestamp="1475510336"&gt;1714&lt;/key&gt;&lt;/foreign-keys&gt;&lt;ref-type name="Book Section"&gt;5&lt;/ref-type&gt;&lt;contributors&gt;&lt;authors&gt;&lt;author&gt;Ocampo, José Antonio&lt;/author&gt;&lt;/authors&gt;&lt;secondary-authors&gt;&lt;author&gt;Perry, Guillermo&lt;/author&gt;&lt;/secondary-authors&gt;&lt;/contributors&gt;&lt;titles&gt;&lt;title&gt;FLAR and Its Role in the Regional and International Financial Architecture&lt;/title&gt;&lt;secondary-title&gt;Building a Latin American Reserve Fund: 35 Years of FLAR&lt;/secondary-title&gt;&lt;/titles&gt;&lt;pages&gt;155-74&lt;/pages&gt;&lt;dates&gt;&lt;year&gt;2015&lt;/year&gt;&lt;/dates&gt;&lt;pub-location&gt;Bogotá&lt;/pub-location&gt;&lt;publisher&gt;Latin American Reserve Fund&lt;/publisher&gt;&lt;urls&gt;&lt;/urls&gt;&lt;/record&gt;&lt;/Cite&gt;&lt;/EndNote&gt;</w:instrText>
      </w:r>
      <w:r w:rsidR="00891F56">
        <w:rPr>
          <w:rFonts w:ascii="Times New Roman" w:hAnsi="Times New Roman"/>
        </w:rPr>
        <w:fldChar w:fldCharType="separate"/>
      </w:r>
      <w:r w:rsidR="00891F56">
        <w:rPr>
          <w:rFonts w:ascii="Times New Roman" w:hAnsi="Times New Roman"/>
          <w:noProof/>
        </w:rPr>
        <w:t>(Ocampo 2015)</w:t>
      </w:r>
      <w:r w:rsidR="00891F56">
        <w:rPr>
          <w:rFonts w:ascii="Times New Roman" w:hAnsi="Times New Roman"/>
        </w:rPr>
        <w:fldChar w:fldCharType="end"/>
      </w:r>
      <w:r w:rsidRPr="00A77BD5">
        <w:rPr>
          <w:rFonts w:ascii="Times New Roman" w:hAnsi="Times New Roman"/>
        </w:rPr>
        <w:t xml:space="preserve">. Though FLAR resources are relatively small they are significant relative to the needs of smaller members, and lending has been redistributive </w:t>
      </w:r>
      <w:proofErr w:type="spellStart"/>
      <w:r w:rsidRPr="00A77BD5">
        <w:rPr>
          <w:rFonts w:ascii="Times New Roman" w:hAnsi="Times New Roman"/>
        </w:rPr>
        <w:t>subregionally</w:t>
      </w:r>
      <w:proofErr w:type="spellEnd"/>
      <w:r w:rsidRPr="00A77BD5">
        <w:rPr>
          <w:rFonts w:ascii="Times New Roman" w:hAnsi="Times New Roman"/>
        </w:rPr>
        <w:t xml:space="preserve"> (ibid.). Mitigation of balance of payments-induced crises in smaller members has benefited the region’s other</w:t>
      </w:r>
      <w:r w:rsidR="005D1842" w:rsidRPr="00A77BD5">
        <w:rPr>
          <w:rFonts w:ascii="Times New Roman" w:hAnsi="Times New Roman"/>
        </w:rPr>
        <w:t xml:space="preserve"> economies by stabilizing trade</w:t>
      </w:r>
      <w:r w:rsidRPr="00A77BD5">
        <w:rPr>
          <w:rFonts w:ascii="Times New Roman" w:hAnsi="Times New Roman"/>
        </w:rPr>
        <w:t>, as has the prohibition on restrictive intra-FLAR trade practices</w:t>
      </w:r>
      <w:r w:rsidR="00907FD6"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&lt;EndNote&gt;&lt;Cite&gt;&lt;Author&gt;Kawai&lt;/Author&gt;&lt;Year&gt;2012&lt;/Year&gt;&lt;RecNum&gt;497&lt;/RecNum&gt;&lt;DisplayText&gt;(Kawai and Lombardi 2012)&lt;/DisplayText&gt;&lt;record&gt;&lt;rec-number&gt;497&lt;/rec-number&gt;&lt;foreign-keys&gt;&lt;key app="EN" db-id="x2xf5e95kefpz8e59fcx5psgerr9wepetvet" timestamp="1407429811"&gt;497&lt;/key&gt;&lt;/foreign-keys&gt;&lt;ref-type name="Journal Article"&gt;17&lt;/ref-type&gt;&lt;contributors&gt;&lt;authors&gt;&lt;author&gt;Kawai, Masahiro&lt;/author&gt;&lt;author&gt;Domenico Lombardi&lt;/author&gt;&lt;/authors&gt;&lt;/contributors&gt;&lt;titles&gt;&lt;title&gt;Regional Financial Arrangements Are Reshaping the International Financial Architecture and Helping Global Financial Stability&lt;/title&gt;&lt;secondary-title&gt;Finance and Development&lt;/secondary-title&gt;&lt;/titles&gt;&lt;periodical&gt;&lt;full-title&gt;Finance and Development&lt;/full-title&gt;&lt;/periodical&gt;&lt;pages&gt;23-25&lt;/pages&gt;&lt;volume&gt;49&lt;/volume&gt;&lt;number&gt;3&lt;/number&gt;&lt;dates&gt;&lt;year&gt;2012&lt;/year&gt;&lt;/dates&gt;&lt;urls&gt;&lt;/urls&gt;&lt;/record&gt;&lt;/Cite&gt;&lt;/EndNote&gt;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(Kawai and Lombardi 2012)</w:t>
      </w:r>
      <w:r w:rsidR="00891F56">
        <w:rPr>
          <w:rFonts w:ascii="Times New Roman" w:hAnsi="Times New Roman"/>
        </w:rPr>
        <w:fldChar w:fldCharType="end"/>
      </w:r>
      <w:r w:rsidRPr="00A77BD5">
        <w:rPr>
          <w:rFonts w:ascii="Times New Roman" w:hAnsi="Times New Roman"/>
        </w:rPr>
        <w:t xml:space="preserve">. In some instances FLAR resources have been leveraged as part of broader support programs, </w:t>
      </w:r>
      <w:r w:rsidR="00F9448F" w:rsidRPr="00A77BD5">
        <w:rPr>
          <w:rFonts w:ascii="Times New Roman" w:hAnsi="Times New Roman"/>
        </w:rPr>
        <w:t>demonstrating</w:t>
      </w:r>
      <w:r w:rsidRPr="00A77BD5">
        <w:rPr>
          <w:rFonts w:ascii="Times New Roman" w:hAnsi="Times New Roman"/>
        </w:rPr>
        <w:t xml:space="preserve"> FLAR’s complementary role in an increasingly complex GFA.</w:t>
      </w:r>
    </w:p>
    <w:p w14:paraId="0DC6B7E8" w14:textId="1F370368" w:rsidR="00E8035C" w:rsidRPr="00A77BD5" w:rsidRDefault="00E8035C" w:rsidP="004F7552">
      <w:pPr>
        <w:widowControl w:val="0"/>
        <w:autoSpaceDE w:val="0"/>
        <w:autoSpaceDN w:val="0"/>
        <w:adjustRightInd w:val="0"/>
        <w:spacing w:line="360" w:lineRule="auto"/>
        <w:ind w:firstLine="720"/>
        <w:rPr>
          <w:rFonts w:ascii="Times New Roman" w:hAnsi="Times New Roman"/>
        </w:rPr>
      </w:pPr>
      <w:r w:rsidRPr="00A77BD5">
        <w:rPr>
          <w:rFonts w:ascii="Times New Roman" w:hAnsi="Times New Roman"/>
        </w:rPr>
        <w:t>The FLAR largely maintained rather than expanded lending levels during the GFC.</w:t>
      </w:r>
      <w:r w:rsidRPr="00A77BD5">
        <w:rPr>
          <w:rFonts w:ascii="Times New Roman" w:hAnsi="Times New Roman"/>
          <w:i/>
        </w:rPr>
        <w:t xml:space="preserve"> </w:t>
      </w:r>
      <w:r w:rsidRPr="00A77BD5">
        <w:rPr>
          <w:rFonts w:ascii="Times New Roman" w:hAnsi="Times New Roman"/>
        </w:rPr>
        <w:t xml:space="preserve">This reflects Latin America’s relative vitality rather than any institutional failure. Looking beyond lending, we find evidence of gradual FLAR evolution and capacity expansion during </w:t>
      </w:r>
      <w:r w:rsidR="005F4AF4" w:rsidRPr="00A77BD5">
        <w:rPr>
          <w:rFonts w:ascii="Times New Roman" w:hAnsi="Times New Roman"/>
        </w:rPr>
        <w:t xml:space="preserve">and since </w:t>
      </w:r>
      <w:r w:rsidRPr="00A77BD5">
        <w:rPr>
          <w:rFonts w:ascii="Times New Roman" w:hAnsi="Times New Roman"/>
        </w:rPr>
        <w:t xml:space="preserve">the GFC. Membership broadened to include additional countries; members approved an increase in subscribed capital; two members pre-paid their subscribed capital, one increased paid-in capital, and one doubled its subscribed capital </w:t>
      </w:r>
      <w:r w:rsidR="00891F56">
        <w:rPr>
          <w:rFonts w:ascii="Times New Roman" w:hAnsi="Times New Roman"/>
        </w:rPr>
        <w:fldChar w:fldCharType="begin"/>
      </w:r>
      <w:r w:rsidR="00891F56">
        <w:rPr>
          <w:rFonts w:ascii="Times New Roman" w:hAnsi="Times New Roman"/>
        </w:rPr>
        <w:instrText xml:space="preserve"> ADDIN EN.CITE &lt;EndNote&gt;&lt;Cite&gt;&lt;Author&gt;Ocampo&lt;/Author&gt;&lt;Year&gt;2015&lt;/Year&gt;&lt;RecNum&gt;1714&lt;/RecNum&gt;&lt;Pages&gt;160&lt;/Pages&gt;&lt;DisplayText&gt;(Ocampo 2015, 160, Titelman et al. 2014, fn9)&lt;/DisplayText&gt;&lt;record&gt;&lt;rec-number&gt;1714&lt;/rec-number&gt;&lt;foreign-keys&gt;&lt;key app="EN" db-id="x2xf5e95kefpz8e59fcx5psgerr9wepetvet" timestamp="1475510336"&gt;1714&lt;/key&gt;&lt;/foreign-keys&gt;&lt;ref-type name="Book Section"&gt;5&lt;/ref-type&gt;&lt;contributors&gt;&lt;authors&gt;&lt;author&gt;Ocampo, José Antonio&lt;/author&gt;&lt;/authors&gt;&lt;secondary-authors&gt;&lt;author&gt;Perry, Guillermo&lt;/author&gt;&lt;/secondary-authors&gt;&lt;/contributors&gt;&lt;titles&gt;&lt;title&gt;FLAR and Its Role in the Regional and International Financial Architecture&lt;/title&gt;&lt;secondary-title&gt;Building a Latin American Reserve Fund: 35 Years of FLAR&lt;/secondary-title&gt;&lt;/titles&gt;&lt;pages&gt;155-74&lt;/pages&gt;&lt;dates&gt;&lt;year&gt;2015&lt;/year&gt;&lt;/dates&gt;&lt;pub-location&gt;Bogotá&lt;/pub-location&gt;&lt;publisher&gt;Latin American Reserve Fund&lt;/publisher&gt;&lt;urls&gt;&lt;/urls&gt;&lt;/record&gt;&lt;/Cite&gt;&lt;Cite&gt;&lt;Author&gt;Titelman&lt;/Author&gt;&lt;Year&gt;2014&lt;/Year&gt;&lt;RecNum&gt;561&lt;/RecNum&gt;&lt;Pages&gt;fn9&lt;/Pages&gt;&lt;record&gt;&lt;rec-number&gt;561&lt;/rec-number&gt;&lt;foreign-keys&gt;&lt;key app="EN" db-id="x2xf5e95kefpz8e59fcx5psgerr9wepetvet" timestamp="1427743869"&gt;561&lt;/key&gt;&lt;/foreign-keys&gt;&lt;ref-type name="Journal Article"&gt;17&lt;/ref-type&gt;&lt;contributors&gt;&lt;authors&gt;&lt;author&gt;Titelman, Daniel&lt;/author&gt;&lt;author&gt;Vera, Cecilia&lt;/author&gt;&lt;author&gt;Carvallo, Pablo&lt;/author&gt;&lt;author&gt;Pérez-Caldentey, Esteban&lt;/author&gt;&lt;/authors&gt;&lt;/contributors&gt;&lt;titles&gt;&lt;title&gt;A Regional Reserve Fund for Latin America&lt;/title&gt;&lt;secondary-title&gt;CEPAL Review&lt;/secondary-title&gt;&lt;/titles&gt;&lt;periodical&gt;&lt;full-title&gt;CEPAL REVIEW&lt;/full-title&gt;&lt;/periodical&gt;&lt;pages&gt;7-28&lt;/pages&gt;&lt;number&gt;112&lt;/number&gt;&lt;dates&gt;&lt;year&gt;2014&lt;/year&gt;&lt;/dates&gt;&lt;urls&gt;&lt;related-urls&gt;&lt;url&gt;http://repositorio.cepal.org/bitstream/handle/11362/37018/RVI112Titelmanetal_en.pdf?sequence=1&lt;/url&gt;&lt;/related-urls&gt;&lt;/urls&gt;&lt;/record&gt;&lt;/Cite&gt;&lt;/EndNote&gt;</w:instrText>
      </w:r>
      <w:r w:rsidR="00891F56">
        <w:rPr>
          <w:rFonts w:ascii="Times New Roman" w:hAnsi="Times New Roman"/>
        </w:rPr>
        <w:fldChar w:fldCharType="separate"/>
      </w:r>
      <w:r w:rsidR="00891F56">
        <w:rPr>
          <w:rFonts w:ascii="Times New Roman" w:hAnsi="Times New Roman"/>
          <w:noProof/>
        </w:rPr>
        <w:t>(Ocampo 2015, 160, Titelman et al. 2014, fn9)</w:t>
      </w:r>
      <w:r w:rsidR="00891F56">
        <w:rPr>
          <w:rFonts w:ascii="Times New Roman" w:hAnsi="Times New Roman"/>
        </w:rPr>
        <w:fldChar w:fldCharType="end"/>
      </w:r>
      <w:r w:rsidRPr="00A77BD5">
        <w:rPr>
          <w:rFonts w:ascii="Times New Roman" w:hAnsi="Times New Roman"/>
        </w:rPr>
        <w:t xml:space="preserve">. In recent years, the FLAR improved the investment conditions of members’ reserves, serving as a regional financial intermediary </w:t>
      </w:r>
      <w:r w:rsidR="00891F56">
        <w:rPr>
          <w:rFonts w:ascii="Times New Roman" w:hAnsi="Times New Roman"/>
        </w:rPr>
        <w:fldChar w:fldCharType="begin"/>
      </w:r>
      <w:r w:rsidR="00891F56">
        <w:rPr>
          <w:rFonts w:ascii="Times New Roman" w:hAnsi="Times New Roman"/>
        </w:rPr>
        <w:instrText xml:space="preserve"> ADDIN EN.CITE &lt;EndNote&gt;&lt;Cite&gt;&lt;Author&gt;Ocampo&lt;/Author&gt;&lt;Year&gt;2015&lt;/Year&gt;&lt;RecNum&gt;1714&lt;/RecNum&gt;&lt;Pages&gt;160&lt;/Pages&gt;&lt;DisplayText&gt;(Ocampo 2015, 160)&lt;/DisplayText&gt;&lt;record&gt;&lt;rec-number&gt;1714&lt;/rec-number&gt;&lt;foreign-keys&gt;&lt;key app="EN" db-id="x2xf5e95kefpz8e59fcx5psgerr9wepetvet" timestamp="1475510336"&gt;1714&lt;/key&gt;&lt;/foreign-keys&gt;&lt;ref-type name="Book Section"&gt;5&lt;/ref-type&gt;&lt;contributors&gt;&lt;authors&gt;&lt;author&gt;Ocampo, José Antonio&lt;/author&gt;&lt;/authors&gt;&lt;secondary-authors&gt;&lt;author&gt;Perry, Guillermo&lt;/author&gt;&lt;/secondary-authors&gt;&lt;/contributors&gt;&lt;titles&gt;&lt;title&gt;FLAR and Its Role in the Regional and International Financial Architecture&lt;/title&gt;&lt;secondary-title&gt;Building a Latin American Reserve Fund: 35 Years of FLAR&lt;/secondary-title&gt;&lt;/titles&gt;&lt;pages&gt;155-74&lt;/pages&gt;&lt;dates&gt;&lt;year&gt;2015&lt;/year&gt;&lt;/dates&gt;&lt;pub-location&gt;Bogotá&lt;/pub-location&gt;&lt;publisher&gt;Latin American Reserve Fund&lt;/publisher&gt;&lt;urls&gt;&lt;/urls&gt;&lt;/record&gt;&lt;/Cite&gt;&lt;/EndNote&gt;</w:instrText>
      </w:r>
      <w:r w:rsidR="00891F56">
        <w:rPr>
          <w:rFonts w:ascii="Times New Roman" w:hAnsi="Times New Roman"/>
        </w:rPr>
        <w:fldChar w:fldCharType="separate"/>
      </w:r>
      <w:r w:rsidR="00891F56">
        <w:rPr>
          <w:rFonts w:ascii="Times New Roman" w:hAnsi="Times New Roman"/>
          <w:noProof/>
        </w:rPr>
        <w:t>(Ocampo 2015, 160)</w:t>
      </w:r>
      <w:r w:rsidR="00891F56">
        <w:rPr>
          <w:rFonts w:ascii="Times New Roman" w:hAnsi="Times New Roman"/>
        </w:rPr>
        <w:fldChar w:fldCharType="end"/>
      </w:r>
      <w:r w:rsidRPr="00A77BD5">
        <w:rPr>
          <w:rFonts w:ascii="Times New Roman" w:hAnsi="Times New Roman"/>
        </w:rPr>
        <w:t>. In addition, after more than a decade of dialogue, the FLAR and the IMF agreed to allow a portion of the capital paid-in to the FLAR to count towards international reserves with the IMF. This double counting reduces the cost of FLAR membership</w:t>
      </w:r>
      <w:r w:rsidR="00266840" w:rsidRPr="00A77BD5">
        <w:rPr>
          <w:rFonts w:ascii="Times New Roman" w:hAnsi="Times New Roman"/>
        </w:rPr>
        <w:t>, which is particularly important for</w:t>
      </w:r>
      <w:r w:rsidRPr="00A77BD5">
        <w:rPr>
          <w:rFonts w:ascii="Times New Roman" w:hAnsi="Times New Roman"/>
        </w:rPr>
        <w:t xml:space="preserve"> small economies. </w:t>
      </w:r>
    </w:p>
    <w:p w14:paraId="1B89F7EE" w14:textId="108EF462"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The absence of some of the region’s largest economies necessarily limits capacity. But broadening membership to include larger members remains contentious because they would likely demand greater influence. Some have argued for deepening FLAR resources by establishing contingent credit lines with member central and private banks, intermediating funding from or cooperating with the IMF </w:t>
      </w:r>
      <w:r w:rsidR="00891F56">
        <w:rPr>
          <w:rFonts w:ascii="Times New Roman" w:hAnsi="Times New Roman"/>
        </w:rPr>
        <w:fldChar w:fldCharType="begin"/>
      </w:r>
      <w:r w:rsidR="00891F56">
        <w:rPr>
          <w:rFonts w:ascii="Times New Roman" w:hAnsi="Times New Roman"/>
        </w:rPr>
        <w:instrText xml:space="preserve"> ADDIN EN.CITE &lt;EndNote&gt;&lt;Cite&gt;&lt;Author&gt;Rosero&lt;/Author&gt;&lt;Year&gt;2014&lt;/Year&gt;&lt;RecNum&gt;557&lt;/RecNum&gt;&lt;DisplayText&gt;(Rosero 2014)&lt;/DisplayText&gt;&lt;record&gt;&lt;rec-number&gt;557&lt;/rec-number&gt;&lt;foreign-keys&gt;&lt;key app="EN" db-id="x2xf5e95kefpz8e59fcx5psgerr9wepetvet" timestamp="1427740405"&gt;557&lt;/key&gt;&lt;/foreign-keys&gt;&lt;ref-type name="Journal Article"&gt;17&lt;/ref-type&gt;&lt;contributors&gt;&lt;authors&gt;&lt;author&gt;Rosero, Luis&lt;/author&gt;&lt;/authors&gt;&lt;/contributors&gt;&lt;titles&gt;&lt;title&gt;Regional Pooling of International Reserves: The Latin American Reserve Fund in Perspective&lt;/title&gt;&lt;secondary-title&gt;Latin American Policy&lt;/secondary-title&gt;&lt;/titles&gt;&lt;periodical&gt;&lt;full-title&gt;Latin American Policy&lt;/full-title&gt;&lt;/periodical&gt;&lt;pages&gt;62-86&lt;/pages&gt;&lt;volume&gt;5&lt;/volume&gt;&lt;number&gt;1&lt;/number&gt;&lt;dates&gt;&lt;year&gt;2014&lt;/year&gt;&lt;/dates&gt;&lt;urls&gt;&lt;/urls&gt;&lt;/record&gt;&lt;/Cite&gt;&lt;/EndNote&gt;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(Rosero 2014)</w:t>
      </w:r>
      <w:r w:rsidR="00891F56">
        <w:rPr>
          <w:rFonts w:ascii="Times New Roman" w:hAnsi="Times New Roman"/>
        </w:rPr>
        <w:fldChar w:fldCharType="end"/>
      </w:r>
      <w:r w:rsidRPr="00A77BD5">
        <w:rPr>
          <w:rFonts w:ascii="Times New Roman" w:hAnsi="Times New Roman"/>
        </w:rPr>
        <w:t>,</w:t>
      </w:r>
      <w:r w:rsidRPr="00A77BD5">
        <w:rPr>
          <w:rStyle w:val="FootnoteReference"/>
          <w:rFonts w:ascii="Times New Roman" w:hAnsi="Times New Roman"/>
        </w:rPr>
        <w:t xml:space="preserve"> </w:t>
      </w:r>
      <w:r w:rsidRPr="00A77BD5">
        <w:rPr>
          <w:rFonts w:ascii="Times New Roman" w:hAnsi="Times New Roman"/>
        </w:rPr>
        <w:t xml:space="preserve">and connecting with other </w:t>
      </w:r>
      <w:proofErr w:type="spellStart"/>
      <w:r w:rsidRPr="00A77BD5">
        <w:rPr>
          <w:rFonts w:ascii="Times New Roman" w:hAnsi="Times New Roman"/>
        </w:rPr>
        <w:t>subregional</w:t>
      </w:r>
      <w:proofErr w:type="spellEnd"/>
      <w:r w:rsidRPr="00A77BD5">
        <w:rPr>
          <w:rFonts w:ascii="Times New Roman" w:hAnsi="Times New Roman"/>
        </w:rPr>
        <w:t>, regional, and multilateral institutions</w:t>
      </w:r>
      <w:r w:rsidR="00792ECB"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&lt;EndNote&gt;&lt;Cite&gt;&lt;Author&gt;Ocampo&lt;/Author&gt;&lt;Year&gt;2015&lt;/Year&gt;&lt;RecNum&gt;1714&lt;/RecNum&gt;&lt;DisplayText&gt;(Ocampo 2015)&lt;/DisplayText&gt;&lt;record&gt;&lt;rec-number&gt;1714&lt;/rec-number&gt;&lt;foreign-keys&gt;&lt;key app="EN" db-id="x2xf5e95kefpz8e59fcx5psgerr9wepetvet" timestamp="1475510336"&gt;1714&lt;/key&gt;&lt;/foreign-keys&gt;&lt;ref-type name="Book Section"&gt;5&lt;/ref-type&gt;&lt;contributors&gt;&lt;authors&gt;&lt;author&gt;Ocampo, José Antonio&lt;/author&gt;&lt;/authors&gt;&lt;secondary-authors&gt;&lt;author&gt;Perry, Guillermo&lt;/author&gt;&lt;/secondary-authors&gt;&lt;/contributors&gt;&lt;titles&gt;&lt;title&gt;FLAR and Its Role in the Regional and International Financial Architecture&lt;/title&gt;&lt;secondary-title&gt;Building a Latin American Reserve Fund: 35 Years of FLAR&lt;/secondary-title&gt;&lt;/titles&gt;&lt;pages&gt;155-74&lt;/pages&gt;&lt;dates&gt;&lt;year&gt;2015&lt;/year&gt;&lt;/dates&gt;&lt;pub-location&gt;Bogotá&lt;/pub-location&gt;&lt;publisher&gt;Latin American Reserve Fund&lt;/publisher&gt;&lt;urls&gt;&lt;/urls&gt;&lt;/record&gt;&lt;/Cite&gt;&lt;/EndNote&gt;</w:instrText>
      </w:r>
      <w:r w:rsidR="00891F56">
        <w:rPr>
          <w:rFonts w:ascii="Times New Roman" w:hAnsi="Times New Roman"/>
        </w:rPr>
        <w:fldChar w:fldCharType="separate"/>
      </w:r>
      <w:r w:rsidR="00891F56">
        <w:rPr>
          <w:rFonts w:ascii="Times New Roman" w:hAnsi="Times New Roman"/>
          <w:noProof/>
        </w:rPr>
        <w:t>(Ocampo 2015)</w:t>
      </w:r>
      <w:r w:rsidR="00891F56">
        <w:rPr>
          <w:rFonts w:ascii="Times New Roman" w:hAnsi="Times New Roman"/>
        </w:rPr>
        <w:fldChar w:fldCharType="end"/>
      </w:r>
      <w:r w:rsidRPr="00A77BD5">
        <w:rPr>
          <w:rFonts w:ascii="Times New Roman" w:hAnsi="Times New Roman"/>
        </w:rPr>
        <w:t xml:space="preserve">. Even if expanded, institutions like the FLAR should be viewed as complementary insurance mechanisms that are part of a global patchwork of liquidity support. We might envision a capacity-based division of labor in which regional mechanisms like the FLAR support small- and medium-sized countries and act independently during localized disturbances—something it has already done—while the IMF supports large countries and partners with the FLAR during large-scale crises, though without IMF-driven conditionality </w:t>
      </w:r>
      <w:r w:rsidR="00891F56">
        <w:rPr>
          <w:rFonts w:ascii="Times New Roman" w:hAnsi="Times New Roman"/>
        </w:rPr>
        <w:fldChar w:fldCharType="begin"/>
      </w:r>
      <w:r w:rsidR="00891F56">
        <w:rPr>
          <w:rFonts w:ascii="Times New Roman" w:hAnsi="Times New Roman"/>
        </w:rPr>
        <w:instrText xml:space="preserve"> ADDIN EN.CITE &lt;EndNote&gt;&lt;Cite&gt;&lt;Author&gt;Ocampo&lt;/Author&gt;&lt;Year&gt;2015&lt;/Year&gt;&lt;RecNum&gt;1714&lt;/RecNum&gt;&lt;Pages&gt;170&lt;/Pages&gt;&lt;DisplayText&gt;(Ocampo 2015, 170)&lt;/DisplayText&gt;&lt;record&gt;&lt;rec-number&gt;1714&lt;/rec-number&gt;&lt;foreign-keys&gt;&lt;key app="EN" db-id="x2xf5e95kefpz8e59fcx5psgerr9wepetvet" timestamp="1475510336"&gt;1714&lt;/key&gt;&lt;/foreign-keys&gt;&lt;ref-type name="Book Section"&gt;5&lt;/ref-type&gt;&lt;contributors&gt;&lt;authors&gt;&lt;author&gt;Ocampo, José Antonio&lt;/author&gt;&lt;/authors&gt;&lt;secondary-authors&gt;&lt;author&gt;Perry, Guillermo&lt;/author&gt;&lt;/secondary-authors&gt;&lt;/contributors&gt;&lt;titles&gt;&lt;title&gt;FLAR and Its Role in the Regional and International Financial Architecture&lt;/title&gt;&lt;secondary-title&gt;Building a Latin American Reserve Fund: 35 Years of FLAR&lt;/secondary-title&gt;&lt;/titles&gt;&lt;pages&gt;155-74&lt;/pages&gt;&lt;dates&gt;&lt;year&gt;2015&lt;/year&gt;&lt;/dates&gt;&lt;pub-location&gt;Bogotá&lt;/pub-location&gt;&lt;publisher&gt;Latin American Reserve Fund&lt;/publisher&gt;&lt;urls&gt;&lt;/urls&gt;&lt;/record&gt;&lt;/Cite&gt;&lt;/EndNote&gt;</w:instrText>
      </w:r>
      <w:r w:rsidR="00891F56">
        <w:rPr>
          <w:rFonts w:ascii="Times New Roman" w:hAnsi="Times New Roman"/>
        </w:rPr>
        <w:fldChar w:fldCharType="separate"/>
      </w:r>
      <w:r w:rsidR="00891F56">
        <w:rPr>
          <w:rFonts w:ascii="Times New Roman" w:hAnsi="Times New Roman"/>
          <w:noProof/>
        </w:rPr>
        <w:t>(Ocampo 2015, 170)</w:t>
      </w:r>
      <w:r w:rsidR="00891F56">
        <w:rPr>
          <w:rFonts w:ascii="Times New Roman" w:hAnsi="Times New Roman"/>
        </w:rPr>
        <w:fldChar w:fldCharType="end"/>
      </w:r>
      <w:r w:rsidRPr="00A77BD5">
        <w:rPr>
          <w:rFonts w:ascii="Times New Roman" w:hAnsi="Times New Roman"/>
        </w:rPr>
        <w:t xml:space="preserve">. </w:t>
      </w:r>
    </w:p>
    <w:p w14:paraId="6F15EBA6" w14:textId="5E75B10A"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As with CMIM, the FLAR has deepened networks with EMDE and some advanced economy (AE) institutions. The FLAR’s capacity has expanded gradually during the GFC. Its increased role as regional financial intermediary is suggestive of some institutional hybridization. The institution has retained an independent stance toward the IMF and its approach to voice and surveillance break with IMF norms. The decision to allow double counting of reserves represents an effort at </w:t>
      </w:r>
      <w:proofErr w:type="spellStart"/>
      <w:r w:rsidRPr="00A77BD5">
        <w:rPr>
          <w:rFonts w:ascii="Times New Roman" w:hAnsi="Times New Roman"/>
        </w:rPr>
        <w:t>Hirschmanian</w:t>
      </w:r>
      <w:proofErr w:type="spellEnd"/>
      <w:r w:rsidRPr="00A77BD5">
        <w:rPr>
          <w:rFonts w:ascii="Times New Roman" w:hAnsi="Times New Roman"/>
        </w:rPr>
        <w:t xml:space="preserve"> problem solving that reduces burdens for smaller members. The relatively small size of FLAR resources makes clear that it is not a Latin American alternative to the IMF (other than for its smaller members, and then only </w:t>
      </w:r>
      <w:r w:rsidR="00760DCB" w:rsidRPr="00A77BD5">
        <w:rPr>
          <w:rFonts w:ascii="Times New Roman" w:hAnsi="Times New Roman"/>
        </w:rPr>
        <w:t xml:space="preserve">during localized </w:t>
      </w:r>
      <w:r w:rsidRPr="00A77BD5">
        <w:rPr>
          <w:rFonts w:ascii="Times New Roman" w:hAnsi="Times New Roman"/>
        </w:rPr>
        <w:t xml:space="preserve">crises). Development of contingent credit lines would obviously increase institutional reach. </w:t>
      </w:r>
    </w:p>
    <w:p w14:paraId="36FE2762" w14:textId="77777777" w:rsidR="00E8035C" w:rsidRPr="00A77BD5" w:rsidRDefault="00E8035C" w:rsidP="004F7552">
      <w:pPr>
        <w:spacing w:line="360" w:lineRule="auto"/>
        <w:rPr>
          <w:rFonts w:ascii="Times New Roman" w:hAnsi="Times New Roman"/>
        </w:rPr>
      </w:pPr>
      <w:r w:rsidRPr="00A77BD5">
        <w:rPr>
          <w:rFonts w:ascii="Times New Roman" w:hAnsi="Times New Roman"/>
          <w:i/>
        </w:rPr>
        <w:t>Arab Monetary Fund</w:t>
      </w:r>
      <w:r w:rsidRPr="00A77BD5">
        <w:rPr>
          <w:rFonts w:ascii="Times New Roman" w:hAnsi="Times New Roman"/>
        </w:rPr>
        <w:t xml:space="preserve">   </w:t>
      </w:r>
    </w:p>
    <w:p w14:paraId="6FC71305" w14:textId="43E0F08D" w:rsidR="00E8035C" w:rsidRPr="00A77BD5" w:rsidRDefault="00E8035C" w:rsidP="004F7552">
      <w:pPr>
        <w:spacing w:line="360" w:lineRule="auto"/>
        <w:rPr>
          <w:rFonts w:ascii="Times New Roman" w:hAnsi="Times New Roman"/>
        </w:rPr>
      </w:pPr>
      <w:r w:rsidRPr="00A77BD5">
        <w:rPr>
          <w:rFonts w:ascii="Times New Roman" w:hAnsi="Times New Roman"/>
        </w:rPr>
        <w:t>The Arab Monetary Fund (</w:t>
      </w:r>
      <w:proofErr w:type="spellStart"/>
      <w:r w:rsidRPr="00A77BD5">
        <w:rPr>
          <w:rFonts w:ascii="Times New Roman" w:hAnsi="Times New Roman"/>
        </w:rPr>
        <w:t>ArMF</w:t>
      </w:r>
      <w:proofErr w:type="spellEnd"/>
      <w:r w:rsidRPr="00A77BD5">
        <w:rPr>
          <w:rFonts w:ascii="Times New Roman" w:hAnsi="Times New Roman"/>
        </w:rPr>
        <w:t xml:space="preserve">) began operating in 1977. It has several lending facilities. In 2009 it expanded its capacity by introducing a short-term lending window to support countries facing difficulties accessing international financial markets during the GFC. Loans made under the short-term (and another) facility are disbursed quickly and do not require a country mission or conditionality. Other types of loans require an adjustment program and supplementary support from other institutions </w:t>
      </w:r>
      <w:r w:rsidR="00891F56">
        <w:rPr>
          <w:rFonts w:ascii="Times New Roman" w:hAnsi="Times New Roman"/>
        </w:rPr>
        <w:fldChar w:fldCharType="begin"/>
      </w:r>
      <w:r w:rsidR="00891F56">
        <w:rPr>
          <w:rFonts w:ascii="Times New Roman" w:hAnsi="Times New Roman"/>
        </w:rPr>
        <w:instrText xml:space="preserve"> ADDIN EN.CITE &lt;EndNote&gt;&lt;Cite&gt;&lt;Author&gt;McKay&lt;/Author&gt;&lt;Year&gt;2011&lt;/Year&gt;&lt;RecNum&gt;937&lt;/RecNum&gt;&lt;Pages&gt;21&lt;/Pages&gt;&lt;DisplayText&gt;(McKay, Volz, and Wölfinger 2011, 21)&lt;/DisplayText&gt;&lt;record&gt;&lt;rec-number&gt;937&lt;/rec-number&gt;&lt;foreign-keys&gt;&lt;key app="EN" db-id="x2xf5e95kefpz8e59fcx5psgerr9wepetvet" timestamp="1428516396"&gt;937&lt;/key&gt;&lt;/foreign-keys&gt;&lt;ref-type name="Journal Article"&gt;17&lt;/ref-type&gt;&lt;contributors&gt;&lt;authors&gt;&lt;author&gt;McKay, Julie&lt;/author&gt;&lt;author&gt;Volz, Ulrich&lt;/author&gt;&lt;author&gt;Wölfinger, Regine&lt;/author&gt;&lt;/authors&gt;&lt;/contributors&gt;&lt;titles&gt;&lt;title&gt;Regional Financing Arrangements and the Stability of the International Monetary System&lt;/title&gt;&lt;secondary-title&gt;Journal of Globalization and Development&lt;/secondary-title&gt;&lt;/titles&gt;&lt;periodical&gt;&lt;full-title&gt;Journal of globalization and development&lt;/full-title&gt;&lt;/periodical&gt;&lt;pages&gt;Article 5&lt;/pages&gt;&lt;volume&gt;2&lt;/volume&gt;&lt;number&gt;1&lt;/number&gt;&lt;dates&gt;&lt;year&gt;2011&lt;/year&gt;&lt;/dates&gt;&lt;urls&gt;&lt;related-urls&gt;&lt;url&gt;=&lt;/url&gt;&lt;/related-urls&gt;&lt;/urls&gt;&lt;electronic-resource-num&gt;https://doi.org/10.2202/1948-1837.1139,&lt;/electronic-resource-num&gt;&lt;/record&gt;&lt;/Cite&gt;&lt;/EndNote&gt;</w:instrText>
      </w:r>
      <w:r w:rsidR="00891F56">
        <w:rPr>
          <w:rFonts w:ascii="Times New Roman" w:hAnsi="Times New Roman"/>
        </w:rPr>
        <w:fldChar w:fldCharType="separate"/>
      </w:r>
      <w:r w:rsidR="00891F56">
        <w:rPr>
          <w:rFonts w:ascii="Times New Roman" w:hAnsi="Times New Roman"/>
          <w:noProof/>
        </w:rPr>
        <w:t>(McKay, Volz, and Wölfinger 2011, 21)</w:t>
      </w:r>
      <w:r w:rsidR="00891F56">
        <w:rPr>
          <w:rFonts w:ascii="Times New Roman" w:hAnsi="Times New Roman"/>
        </w:rPr>
        <w:fldChar w:fldCharType="end"/>
      </w:r>
      <w:r w:rsidRPr="00A77BD5">
        <w:rPr>
          <w:rFonts w:ascii="Times New Roman" w:hAnsi="Times New Roman"/>
        </w:rPr>
        <w:t xml:space="preserve">. </w:t>
      </w:r>
      <w:proofErr w:type="spellStart"/>
      <w:r w:rsidRPr="00A77BD5">
        <w:rPr>
          <w:rFonts w:ascii="Times New Roman" w:hAnsi="Times New Roman"/>
        </w:rPr>
        <w:t>ArMF</w:t>
      </w:r>
      <w:proofErr w:type="spellEnd"/>
      <w:r w:rsidRPr="00A77BD5">
        <w:rPr>
          <w:rFonts w:ascii="Times New Roman" w:hAnsi="Times New Roman"/>
        </w:rPr>
        <w:t xml:space="preserve"> staff conduct reviews of member economies </w:t>
      </w:r>
      <w:r w:rsidR="00891F56">
        <w:rPr>
          <w:rFonts w:ascii="Times New Roman" w:hAnsi="Times New Roman"/>
        </w:rPr>
        <w:fldChar w:fldCharType="begin"/>
      </w:r>
      <w:r w:rsidR="00891F56">
        <w:rPr>
          <w:rFonts w:ascii="Times New Roman" w:hAnsi="Times New Roman"/>
        </w:rPr>
        <w:instrText xml:space="preserve"> ADDIN EN.CITE &lt;EndNote&gt;&lt;Cite&gt;&lt;Author&gt;Miyoshi&lt;/Author&gt;&lt;Year&gt;2013&lt;/Year&gt;&lt;RecNum&gt;500&lt;/RecNum&gt;&lt;DisplayText&gt;(Miyoshi 2013)&lt;/DisplayText&gt;&lt;record&gt;&lt;rec-number&gt;500&lt;/rec-number&gt;&lt;foreign-keys&gt;&lt;key app="EN" db-id="x2xf5e95kefpz8e59fcx5psgerr9wepetvet" timestamp="1408125233"&gt;500&lt;/key&gt;&lt;/foreign-keys&gt;&lt;ref-type name="Report"&gt;27&lt;/ref-type&gt;&lt;contributors&gt;&lt;authors&gt;&lt;author&gt;Miyoshi, Toshiyuki&lt;/author&gt;&lt;/authors&gt;&lt;/contributors&gt;&lt;titles&gt;&lt;title&gt;Stocktaking the Fund&amp;apos;s Engagement with Regional Financing Arrangements. Washington, DC: International Monetary Fund, April 11. https://www.imf.org/external/np/pp/eng/2013/041113b.pdf&lt;/title&gt;&lt;/titles&gt;&lt;dates&gt;&lt;year&gt;2013&lt;/year&gt;&lt;/dates&gt;&lt;urls&gt;&lt;/urls&gt;&lt;/record&gt;&lt;/Cite&gt;&lt;/EndNote&gt;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(Miyoshi 2013)</w:t>
      </w:r>
      <w:r w:rsidR="00891F56">
        <w:rPr>
          <w:rFonts w:ascii="Times New Roman" w:hAnsi="Times New Roman"/>
        </w:rPr>
        <w:fldChar w:fldCharType="end"/>
      </w:r>
      <w:r w:rsidRPr="00A77BD5">
        <w:rPr>
          <w:rFonts w:ascii="Times New Roman" w:hAnsi="Times New Roman"/>
        </w:rPr>
        <w:t xml:space="preserve">. Some analysts question whether </w:t>
      </w:r>
      <w:proofErr w:type="spellStart"/>
      <w:r w:rsidRPr="00A77BD5">
        <w:rPr>
          <w:rFonts w:ascii="Times New Roman" w:hAnsi="Times New Roman"/>
        </w:rPr>
        <w:t>ArMF</w:t>
      </w:r>
      <w:proofErr w:type="spellEnd"/>
      <w:r w:rsidRPr="00A77BD5">
        <w:rPr>
          <w:rFonts w:ascii="Times New Roman" w:hAnsi="Times New Roman"/>
        </w:rPr>
        <w:t xml:space="preserve"> monitoring is sufficiently stringent </w:t>
      </w:r>
      <w:r w:rsidR="00891F56">
        <w:rPr>
          <w:rFonts w:ascii="Times New Roman" w:hAnsi="Times New Roman"/>
        </w:rPr>
        <w:fldChar w:fldCharType="begin"/>
      </w:r>
      <w:r w:rsidR="00891F56">
        <w:rPr>
          <w:rFonts w:ascii="Times New Roman" w:hAnsi="Times New Roman"/>
        </w:rPr>
        <w:instrText xml:space="preserve"> ADDIN EN.CITE &lt;EndNote&gt;&lt;Cite&gt;&lt;Author&gt;McKay&lt;/Author&gt;&lt;Year&gt;2011&lt;/Year&gt;&lt;RecNum&gt;937&lt;/RecNum&gt;&lt;DisplayText&gt;(McKay, Volz, and Wölfinger 2011)&lt;/DisplayText&gt;&lt;record&gt;&lt;rec-number&gt;937&lt;/rec-number&gt;&lt;foreign-keys&gt;&lt;key app="EN" db-id="x2xf5e95kefpz8e59fcx5psgerr9wepetvet" timestamp="1428516396"&gt;937&lt;/key&gt;&lt;/foreign-keys&gt;&lt;ref-type name="Journal Article"&gt;17&lt;/ref-type&gt;&lt;contributors&gt;&lt;authors&gt;&lt;author&gt;McKay, Julie&lt;/author&gt;&lt;author&gt;Volz, Ulrich&lt;/author&gt;&lt;author&gt;Wölfinger, Regine&lt;/author&gt;&lt;/authors&gt;&lt;/contributors&gt;&lt;titles&gt;&lt;title&gt;Regional Financing Arrangements and the Stability of the International Monetary System&lt;/title&gt;&lt;secondary-title&gt;Journal of Globalization and Development&lt;/secondary-title&gt;&lt;/titles&gt;&lt;periodical&gt;&lt;full-title&gt;Journal of globalization and development&lt;/full-title&gt;&lt;/periodical&gt;&lt;pages&gt;Article 5&lt;/pages&gt;&lt;volume&gt;2&lt;/volume&gt;&lt;number&gt;1&lt;/number&gt;&lt;dates&gt;&lt;year&gt;2011&lt;/year&gt;&lt;/dates&gt;&lt;urls&gt;&lt;related-urls&gt;&lt;url&gt;=&lt;/url&gt;&lt;/related-urls&gt;&lt;/urls&gt;&lt;electronic-resource-num&gt;https://doi.org/10.2202/1948-1837.1139,&lt;/electronic-resource-num&gt;&lt;/record&gt;&lt;/Cite&gt;&lt;/EndNote&gt;</w:instrText>
      </w:r>
      <w:r w:rsidR="00891F56">
        <w:rPr>
          <w:rFonts w:ascii="Times New Roman" w:hAnsi="Times New Roman"/>
        </w:rPr>
        <w:fldChar w:fldCharType="separate"/>
      </w:r>
      <w:r w:rsidR="00891F56">
        <w:rPr>
          <w:rFonts w:ascii="Times New Roman" w:hAnsi="Times New Roman"/>
          <w:noProof/>
        </w:rPr>
        <w:t>(McKay, Volz, and Wölfinger 2011)</w:t>
      </w:r>
      <w:r w:rsidR="00891F56">
        <w:rPr>
          <w:rFonts w:ascii="Times New Roman" w:hAnsi="Times New Roman"/>
        </w:rPr>
        <w:fldChar w:fldCharType="end"/>
      </w:r>
      <w:r w:rsidRPr="00A77BD5">
        <w:rPr>
          <w:rFonts w:ascii="Times New Roman" w:hAnsi="Times New Roman"/>
        </w:rPr>
        <w:t xml:space="preserve">, but loan arrears remain small and concentrated in countries facing unique challenges (e.g., Somalia, Syria, Sudan). The </w:t>
      </w:r>
      <w:proofErr w:type="spellStart"/>
      <w:r w:rsidRPr="00A77BD5">
        <w:rPr>
          <w:rFonts w:ascii="Times New Roman" w:hAnsi="Times New Roman"/>
        </w:rPr>
        <w:t>ArMF’s</w:t>
      </w:r>
      <w:proofErr w:type="spellEnd"/>
      <w:r w:rsidRPr="00A77BD5">
        <w:rPr>
          <w:rFonts w:ascii="Times New Roman" w:hAnsi="Times New Roman"/>
        </w:rPr>
        <w:t xml:space="preserve"> governance structure is not unlike that of the BWIs insofar as larger contributors (Saudi Arabia, Algeria, and Iraq) together hold 38.5% of votes. Average drawing volume by borrowers is very small, and smaller, oil-importing members are the most frequent borrowers </w:t>
      </w:r>
      <w:r w:rsidR="00891F56">
        <w:rPr>
          <w:rFonts w:ascii="Times New Roman" w:hAnsi="Times New Roman"/>
        </w:rPr>
        <w:fldChar w:fldCharType="begin"/>
      </w:r>
      <w:r w:rsidR="00891F56">
        <w:rPr>
          <w:rFonts w:ascii="Times New Roman" w:hAnsi="Times New Roman"/>
        </w:rPr>
        <w:instrText xml:space="preserve"> ADDIN EN.CITE &lt;EndNote&gt;&lt;Cite&gt;&lt;Author&gt;Mühlich&lt;/Author&gt;&lt;Year&gt;2016&lt;/Year&gt;&lt;RecNum&gt;1778&lt;/RecNum&gt;&lt;DisplayText&gt;(Mühlich and Fritz 2016)&lt;/DisplayText&gt;&lt;record&gt;&lt;rec-number&gt;1778&lt;/rec-number&gt;&lt;foreign-keys&gt;&lt;key app="EN" db-id="x2xf5e95kefpz8e59fcx5psgerr9wepetvet" timestamp="1477410390"&gt;1778&lt;/key&gt;&lt;/foreign-keys&gt;&lt;ref-type name="Report"&gt;27&lt;/ref-type&gt;&lt;contributors&gt;&lt;authors&gt;&lt;author&gt;Mühlich, Laurissa &lt;/author&gt;&lt;author&gt; Fritz, Barbara&lt;/author&gt;&lt;/authors&gt;&lt;/contributors&gt;&lt;titles&gt;&lt;title&gt;Safety for Whom? The Scattered Global Financial Safety Net and the Role of Regional Financial Arrangements. KFG Working Paper No. 75, Berlin: The Transformative Power of Europe, Freie Universität Berlin, September. http://www.polsoz.fu-berlin.de/en/v/transformeurope/news/allgemeines/KFG-Working-Paper-No-75.html&lt;/title&gt;&lt;/titles&gt;&lt;dates&gt;&lt;year&gt;2016&lt;/year&gt;&lt;/dates&gt;&lt;urls&gt;&lt;/urls&gt;&lt;/record&gt;&lt;/Cite&gt;&lt;/EndNote&gt;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(Mühlich and Fritz 2016)</w:t>
      </w:r>
      <w:r w:rsidR="00891F56">
        <w:rPr>
          <w:rFonts w:ascii="Times New Roman" w:hAnsi="Times New Roman"/>
        </w:rPr>
        <w:fldChar w:fldCharType="end"/>
      </w:r>
      <w:r w:rsidRPr="00A77BD5">
        <w:rPr>
          <w:rFonts w:ascii="Times New Roman" w:hAnsi="Times New Roman"/>
        </w:rPr>
        <w:t xml:space="preserve">. The </w:t>
      </w:r>
      <w:proofErr w:type="spellStart"/>
      <w:r w:rsidRPr="00A77BD5">
        <w:rPr>
          <w:rFonts w:ascii="Times New Roman" w:hAnsi="Times New Roman"/>
        </w:rPr>
        <w:t>ArMF</w:t>
      </w:r>
      <w:proofErr w:type="spellEnd"/>
      <w:r w:rsidRPr="00A77BD5">
        <w:rPr>
          <w:rFonts w:ascii="Times New Roman" w:hAnsi="Times New Roman"/>
        </w:rPr>
        <w:t xml:space="preserve"> faced growing demands during the GFC, Arab Spring, and periods of rising food and falling oil prices. Between 2009 and 2015, the institution approved 33 loans to eight countries totaling US$3.5 billion—a substantial increase over prior activity. </w:t>
      </w:r>
    </w:p>
    <w:p w14:paraId="433191BD" w14:textId="10368807" w:rsidR="00E8035C"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rPr>
        <w:t xml:space="preserve">Although the </w:t>
      </w:r>
      <w:proofErr w:type="spellStart"/>
      <w:r w:rsidRPr="00A77BD5">
        <w:rPr>
          <w:rFonts w:ascii="Times New Roman" w:hAnsi="Times New Roman"/>
        </w:rPr>
        <w:t>ArMF</w:t>
      </w:r>
      <w:proofErr w:type="spellEnd"/>
      <w:r w:rsidRPr="00A77BD5">
        <w:rPr>
          <w:rFonts w:ascii="Times New Roman" w:hAnsi="Times New Roman"/>
        </w:rPr>
        <w:t xml:space="preserve"> has no formal relationship with the IMF, the IMF provides technical assistance </w:t>
      </w:r>
      <w:r w:rsidR="00891F56">
        <w:rPr>
          <w:rFonts w:ascii="Times New Roman" w:hAnsi="Times New Roman"/>
        </w:rPr>
        <w:fldChar w:fldCharType="begin"/>
      </w:r>
      <w:r w:rsidR="00891F56">
        <w:rPr>
          <w:rFonts w:ascii="Times New Roman" w:hAnsi="Times New Roman"/>
        </w:rPr>
        <w:instrText xml:space="preserve"> ADDIN EN.CITE &lt;EndNote&gt;&lt;Cite&gt;&lt;Author&gt;Rhee&lt;/Author&gt;&lt;Year&gt;2013&lt;/Year&gt;&lt;RecNum&gt;522&lt;/RecNum&gt;&lt;DisplayText&gt;(Rhee, Sumulong, and Vallée 2013)&lt;/DisplayText&gt;&lt;record&gt;&lt;rec-number&gt;522&lt;/rec-number&gt;&lt;foreign-keys&gt;&lt;key app="EN" db-id="x2xf5e95kefpz8e59fcx5psgerr9wepetvet" timestamp="1427649644"&gt;522&lt;/key&gt;&lt;/foreign-keys&gt;&lt;ref-type name="Book Section"&gt;5&lt;/ref-type&gt;&lt;contributors&gt;&lt;authors&gt;&lt;author&gt;Rhee, Changyong&lt;/author&gt;&lt;author&gt;Lea Sumulong&lt;/author&gt;&lt;author&gt;Shahin Vallée&lt;/author&gt;&lt;/authors&gt;&lt;secondary-authors&gt;&lt;author&gt;Changyong Rhee and Adam Posen &lt;/author&gt;&lt;/secondary-authors&gt;&lt;/contributors&gt;&lt;titles&gt;&lt;title&gt;Global and Regional Financial Safety Nets: Lessons from Europe and Asia&lt;/title&gt;&lt;secondary-title&gt;Responding to Financial Crisis: Lessons from Asia Then, the United States and Europe Now&lt;/secondary-title&gt;&lt;/titles&gt;&lt;pages&gt;213-48&lt;/pages&gt;&lt;dates&gt;&lt;year&gt;2013&lt;/year&gt;&lt;/dates&gt;&lt;pub-location&gt;Washington, DC&lt;/pub-location&gt;&lt;publisher&gt;Peterson Institute for International Economics and Asian Development Bank.&lt;/publisher&gt;&lt;urls&gt;&lt;/urls&gt;&lt;/record&gt;&lt;/Cite&gt;&lt;/EndNote&gt;</w:instrText>
      </w:r>
      <w:r w:rsidR="00891F56">
        <w:rPr>
          <w:rFonts w:ascii="Times New Roman" w:hAnsi="Times New Roman"/>
        </w:rPr>
        <w:fldChar w:fldCharType="separate"/>
      </w:r>
      <w:r w:rsidR="00891F56">
        <w:rPr>
          <w:rFonts w:ascii="Times New Roman" w:hAnsi="Times New Roman"/>
          <w:noProof/>
        </w:rPr>
        <w:t>(Rhee, Sumulong, and Vallée 2013)</w:t>
      </w:r>
      <w:r w:rsidR="00891F56">
        <w:rPr>
          <w:rFonts w:ascii="Times New Roman" w:hAnsi="Times New Roman"/>
        </w:rPr>
        <w:fldChar w:fldCharType="end"/>
      </w:r>
      <w:r w:rsidRPr="00A77BD5">
        <w:rPr>
          <w:rFonts w:ascii="Times New Roman" w:hAnsi="Times New Roman"/>
        </w:rPr>
        <w:t xml:space="preserve">. The institution’s Articles of Agreement charge it with providing ‘complementary’ lender of last resort financing for some types of loans </w:t>
      </w:r>
      <w:r w:rsidR="00891F56">
        <w:rPr>
          <w:rFonts w:ascii="Times New Roman" w:hAnsi="Times New Roman"/>
        </w:rPr>
        <w:fldChar w:fldCharType="begin"/>
      </w:r>
      <w:r w:rsidR="00891F56">
        <w:rPr>
          <w:rFonts w:ascii="Times New Roman" w:hAnsi="Times New Roman"/>
        </w:rPr>
        <w:instrText xml:space="preserve"> ADDIN EN.CITE &lt;EndNote&gt;&lt;Cite&gt;&lt;Author&gt;Miyoshi&lt;/Author&gt;&lt;Year&gt;2013&lt;/Year&gt;&lt;RecNum&gt;500&lt;/RecNum&gt;&lt;Pages&gt;31-2&lt;/Pages&gt;&lt;DisplayText&gt;(Miyoshi 2013, 31-2)&lt;/DisplayText&gt;&lt;record&gt;&lt;rec-number&gt;500&lt;/rec-number&gt;&lt;foreign-keys&gt;&lt;key app="EN" db-id="x2xf5e95kefpz8e59fcx5psgerr9wepetvet" timestamp="1408125233"&gt;500&lt;/key&gt;&lt;/foreign-keys&gt;&lt;ref-type name="Report"&gt;27&lt;/ref-type&gt;&lt;contributors&gt;&lt;authors&gt;&lt;author&gt;Miyoshi, Toshiyuki&lt;/author&gt;&lt;/authors&gt;&lt;/contributors&gt;&lt;titles&gt;&lt;title&gt;Stocktaking the Fund&amp;apos;s Engagement with Regional Financing Arrangements. Washington, DC: International Monetary Fund, April 11. https://www.imf.org/external/np/pp/eng/2013/041113b.pdf&lt;/title&gt;&lt;/titles&gt;&lt;dates&gt;&lt;year&gt;2013&lt;/year&gt;&lt;/dates&gt;&lt;urls&gt;&lt;/urls&gt;&lt;/record&gt;&lt;/Cite&gt;&lt;/EndNote&gt;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(Miyoshi 2013, 31-2)</w:t>
      </w:r>
      <w:r w:rsidR="00891F56">
        <w:rPr>
          <w:rFonts w:ascii="Times New Roman" w:hAnsi="Times New Roman"/>
        </w:rPr>
        <w:fldChar w:fldCharType="end"/>
      </w:r>
      <w:r w:rsidRPr="00A77BD5">
        <w:rPr>
          <w:rFonts w:ascii="Times New Roman" w:hAnsi="Times New Roman"/>
        </w:rPr>
        <w:t xml:space="preserve">. This explicitly complementary role is necessitated by the </w:t>
      </w:r>
      <w:proofErr w:type="spellStart"/>
      <w:r w:rsidRPr="00A77BD5">
        <w:rPr>
          <w:rFonts w:ascii="Times New Roman" w:hAnsi="Times New Roman"/>
        </w:rPr>
        <w:t>ArMF’s</w:t>
      </w:r>
      <w:proofErr w:type="spellEnd"/>
      <w:r w:rsidRPr="00A77BD5">
        <w:rPr>
          <w:rFonts w:ascii="Times New Roman" w:hAnsi="Times New Roman"/>
        </w:rPr>
        <w:t xml:space="preserve"> small capitalization and is reflected in the frequent parallel use of the IMF and </w:t>
      </w:r>
      <w:proofErr w:type="spellStart"/>
      <w:r w:rsidRPr="00A77BD5">
        <w:rPr>
          <w:rFonts w:ascii="Times New Roman" w:hAnsi="Times New Roman"/>
        </w:rPr>
        <w:t>ArMF</w:t>
      </w:r>
      <w:proofErr w:type="spellEnd"/>
      <w:r w:rsidR="00A14A61" w:rsidRPr="00A77BD5">
        <w:rPr>
          <w:rFonts w:ascii="Times New Roman" w:hAnsi="Times New Roman"/>
        </w:rPr>
        <w:t xml:space="preserve"> </w:t>
      </w:r>
      <w:r w:rsidR="00891F56">
        <w:rPr>
          <w:rFonts w:ascii="Times New Roman" w:hAnsi="Times New Roman"/>
        </w:rPr>
        <w:fldChar w:fldCharType="begin"/>
      </w:r>
      <w:r w:rsidR="00891F56">
        <w:rPr>
          <w:rFonts w:ascii="Times New Roman" w:hAnsi="Times New Roman"/>
        </w:rPr>
        <w:instrText xml:space="preserve"> ADDIN EN.CITE &lt;EndNote&gt;&lt;Cite&gt;&lt;Author&gt;Fritz&lt;/Author&gt;&lt;Year&gt;2018&lt;/Year&gt;&lt;RecNum&gt;1967&lt;/RecNum&gt;&lt;DisplayText&gt;(Fritz and Mühlich 2018)&lt;/DisplayText&gt;&lt;record&gt;&lt;rec-number&gt;1967&lt;/rec-number&gt;&lt;foreign-keys&gt;&lt;key app="EN" db-id="x2xf5e95kefpz8e59fcx5psgerr9wepetvet" timestamp="1532983090"&gt;1967&lt;/key&gt;&lt;/foreign-keys&gt;&lt;ref-type name="Report"&gt;27&lt;/ref-type&gt;&lt;contributors&gt;&lt;authors&gt;&lt;author&gt;Fritz, Barbara&lt;/author&gt;&lt;author&gt;Mühlich, Laurissa&lt;/author&gt;&lt;/authors&gt;&lt;/contributors&gt;&lt;titles&gt;&lt;title&gt;&lt;style face="normal" font="default" size="100%"&gt;Regional Financial Arrangements in the Global Safety Net: The Arab and the Eurasian Fund,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(Fritz and Mühlich 2018)</w:t>
      </w:r>
      <w:r w:rsidR="00891F56">
        <w:rPr>
          <w:rFonts w:ascii="Times New Roman" w:hAnsi="Times New Roman"/>
        </w:rPr>
        <w:fldChar w:fldCharType="end"/>
      </w:r>
      <w:r w:rsidRPr="00A77BD5">
        <w:rPr>
          <w:rFonts w:ascii="Times New Roman" w:hAnsi="Times New Roman"/>
        </w:rPr>
        <w:t xml:space="preserve">. The </w:t>
      </w:r>
      <w:proofErr w:type="spellStart"/>
      <w:r w:rsidRPr="00A77BD5">
        <w:rPr>
          <w:rFonts w:ascii="Times New Roman" w:hAnsi="Times New Roman"/>
        </w:rPr>
        <w:t>ArMF’s</w:t>
      </w:r>
      <w:proofErr w:type="spellEnd"/>
      <w:r w:rsidRPr="00A77BD5">
        <w:rPr>
          <w:rFonts w:ascii="Times New Roman" w:hAnsi="Times New Roman"/>
        </w:rPr>
        <w:t xml:space="preserve"> resources could be increased significantly to provide more support to poorer members given the resources of oil-exporting members. </w:t>
      </w:r>
    </w:p>
    <w:p w14:paraId="1FBFC7B9" w14:textId="31325881" w:rsidR="00E8035C"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rPr>
        <w:t xml:space="preserve">The </w:t>
      </w:r>
      <w:proofErr w:type="spellStart"/>
      <w:r w:rsidRPr="00A77BD5">
        <w:rPr>
          <w:rFonts w:ascii="Times New Roman" w:hAnsi="Times New Roman"/>
        </w:rPr>
        <w:t>ArMF’s</w:t>
      </w:r>
      <w:proofErr w:type="spellEnd"/>
      <w:r w:rsidRPr="00A77BD5">
        <w:rPr>
          <w:rFonts w:ascii="Times New Roman" w:hAnsi="Times New Roman"/>
        </w:rPr>
        <w:t xml:space="preserve"> introduction of a new lending facility to address the fallout of the GFC exemplifies pragmatic problem solving. The institution has a complementary and ambiguous relationship to the BWIs. As with the BWIs, voice is linked to contribution. Some types of loans involve conditionality and surveillance, though </w:t>
      </w:r>
      <w:proofErr w:type="gramStart"/>
      <w:r w:rsidRPr="00A77BD5">
        <w:rPr>
          <w:rFonts w:ascii="Times New Roman" w:hAnsi="Times New Roman"/>
        </w:rPr>
        <w:t>it is conducted b</w:t>
      </w:r>
      <w:r w:rsidR="00B418D8" w:rsidRPr="00A77BD5">
        <w:rPr>
          <w:rFonts w:ascii="Times New Roman" w:hAnsi="Times New Roman"/>
        </w:rPr>
        <w:t>y</w:t>
      </w:r>
      <w:r w:rsidRPr="00A77BD5">
        <w:rPr>
          <w:rFonts w:ascii="Times New Roman" w:hAnsi="Times New Roman"/>
        </w:rPr>
        <w:t xml:space="preserve"> </w:t>
      </w:r>
      <w:proofErr w:type="spellStart"/>
      <w:r w:rsidRPr="00A77BD5">
        <w:rPr>
          <w:rFonts w:ascii="Times New Roman" w:hAnsi="Times New Roman"/>
        </w:rPr>
        <w:t>ArMF</w:t>
      </w:r>
      <w:proofErr w:type="spellEnd"/>
      <w:r w:rsidRPr="00A77BD5">
        <w:rPr>
          <w:rFonts w:ascii="Times New Roman" w:hAnsi="Times New Roman"/>
        </w:rPr>
        <w:t xml:space="preserve"> staff</w:t>
      </w:r>
      <w:proofErr w:type="gramEnd"/>
      <w:r w:rsidRPr="00A77BD5">
        <w:rPr>
          <w:rFonts w:ascii="Times New Roman" w:hAnsi="Times New Roman"/>
        </w:rPr>
        <w:t xml:space="preserve">. Some loans require complementary support from other institutions, including (but not limited to) the IMF. The small size and frequent parallel drawings from the </w:t>
      </w:r>
      <w:proofErr w:type="spellStart"/>
      <w:r w:rsidRPr="00A77BD5">
        <w:rPr>
          <w:rFonts w:ascii="Times New Roman" w:hAnsi="Times New Roman"/>
        </w:rPr>
        <w:t>ArMF</w:t>
      </w:r>
      <w:proofErr w:type="spellEnd"/>
      <w:r w:rsidRPr="00A77BD5">
        <w:rPr>
          <w:rFonts w:ascii="Times New Roman" w:hAnsi="Times New Roman"/>
        </w:rPr>
        <w:t xml:space="preserve"> and IMF underscore their complementary relationship. As with CMIM, FLAR, and indeed all EMDE liquidity support institutions a dense network is developing among them and with the IMF. </w:t>
      </w:r>
    </w:p>
    <w:p w14:paraId="1B5DD701" w14:textId="77777777" w:rsidR="00E8035C" w:rsidRPr="00A77BD5" w:rsidRDefault="00E8035C" w:rsidP="004F7552">
      <w:pPr>
        <w:pStyle w:val="FootnoteText"/>
        <w:spacing w:line="360" w:lineRule="auto"/>
        <w:rPr>
          <w:rFonts w:ascii="Times New Roman" w:hAnsi="Times New Roman"/>
        </w:rPr>
      </w:pPr>
      <w:r w:rsidRPr="00A77BD5">
        <w:rPr>
          <w:rFonts w:ascii="Times New Roman" w:hAnsi="Times New Roman"/>
          <w:i/>
        </w:rPr>
        <w:t>Eurasian Fund for Stabilization and Development</w:t>
      </w:r>
      <w:r w:rsidRPr="00A77BD5">
        <w:rPr>
          <w:rFonts w:ascii="Times New Roman" w:hAnsi="Times New Roman"/>
        </w:rPr>
        <w:t xml:space="preserve">  </w:t>
      </w:r>
    </w:p>
    <w:p w14:paraId="7A0E102F" w14:textId="77777777" w:rsidR="00E8035C" w:rsidRPr="00A77BD5" w:rsidRDefault="00E8035C" w:rsidP="004F7552">
      <w:pPr>
        <w:spacing w:line="360" w:lineRule="auto"/>
        <w:rPr>
          <w:rFonts w:ascii="Times New Roman" w:hAnsi="Times New Roman"/>
        </w:rPr>
      </w:pPr>
      <w:r w:rsidRPr="00A77BD5">
        <w:rPr>
          <w:rFonts w:ascii="Times New Roman" w:hAnsi="Times New Roman"/>
        </w:rPr>
        <w:t xml:space="preserve">Member countries of the Eurasian Economic Community created the Eurasian Fund for Stabilization and Development (EFSD, formerly known as the Anti-Crisis Fund) in 2009 as the GFC was unfolding. The EFSD makes loans to member governments to offset the effects of the GFC, finance stabilization programs, and promote long-term economic stability. It also provides development bank services in the form of loans to governments and firms for large interstate projects. Votes at the EFSD are weighted by capital contributions. Russia contributes most of the capital and holds 85% of the votes. </w:t>
      </w:r>
    </w:p>
    <w:p w14:paraId="088FDE94" w14:textId="70BADBD7"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The Eurasian Development Bank manages EFSD resources and conducts borrower surveillance </w:t>
      </w:r>
      <w:r w:rsidR="00891F56">
        <w:rPr>
          <w:rFonts w:ascii="Times New Roman" w:hAnsi="Times New Roman"/>
        </w:rPr>
        <w:fldChar w:fldCharType="begin"/>
      </w:r>
      <w:r w:rsidR="00891F56">
        <w:rPr>
          <w:rFonts w:ascii="Times New Roman" w:hAnsi="Times New Roman"/>
        </w:rPr>
        <w:instrText xml:space="preserve"> ADDIN EN.CITE &lt;EndNote&gt;&lt;Cite&gt;&lt;Author&gt;Rhee&lt;/Author&gt;&lt;Year&gt;2013&lt;/Year&gt;&lt;RecNum&gt;522&lt;/RecNum&gt;&lt;Pages&gt;224&lt;/Pages&gt;&lt;DisplayText&gt;(Rhee, Sumulong, and Vallée 2013, 224)&lt;/DisplayText&gt;&lt;record&gt;&lt;rec-number&gt;522&lt;/rec-number&gt;&lt;foreign-keys&gt;&lt;key app="EN" db-id="x2xf5e95kefpz8e59fcx5psgerr9wepetvet" timestamp="1427649644"&gt;522&lt;/key&gt;&lt;/foreign-keys&gt;&lt;ref-type name="Book Section"&gt;5&lt;/ref-type&gt;&lt;contributors&gt;&lt;authors&gt;&lt;author&gt;Rhee, Changyong&lt;/author&gt;&lt;author&gt;Lea Sumulong&lt;/author&gt;&lt;author&gt;Shahin Vallée&lt;/author&gt;&lt;/authors&gt;&lt;secondary-authors&gt;&lt;author&gt;Changyong Rhee and Adam Posen &lt;/author&gt;&lt;/secondary-authors&gt;&lt;/contributors&gt;&lt;titles&gt;&lt;title&gt;Global and Regional Financial Safety Nets: Lessons from Europe and Asia&lt;/title&gt;&lt;secondary-title&gt;Responding to Financial Crisis: Lessons from Asia Then, the United States and Europe Now&lt;/secondary-title&gt;&lt;/titles&gt;&lt;pages&gt;213-48&lt;/pages&gt;&lt;dates&gt;&lt;year&gt;2013&lt;/year&gt;&lt;/dates&gt;&lt;pub-location&gt;Washington, DC&lt;/pub-location&gt;&lt;publisher&gt;Peterson Institute for International Economics and Asian Development Bank.&lt;/publisher&gt;&lt;urls&gt;&lt;/urls&gt;&lt;/record&gt;&lt;/Cite&gt;&lt;/EndNote&gt;</w:instrText>
      </w:r>
      <w:r w:rsidR="00891F56">
        <w:rPr>
          <w:rFonts w:ascii="Times New Roman" w:hAnsi="Times New Roman"/>
        </w:rPr>
        <w:fldChar w:fldCharType="separate"/>
      </w:r>
      <w:r w:rsidR="00891F56">
        <w:rPr>
          <w:rFonts w:ascii="Times New Roman" w:hAnsi="Times New Roman"/>
          <w:noProof/>
        </w:rPr>
        <w:t>(Rhee, Sumulong, and Vallée 2013, 224)</w:t>
      </w:r>
      <w:r w:rsidR="00891F56">
        <w:rPr>
          <w:rFonts w:ascii="Times New Roman" w:hAnsi="Times New Roman"/>
        </w:rPr>
        <w:fldChar w:fldCharType="end"/>
      </w:r>
      <w:r w:rsidRPr="00A77BD5">
        <w:rPr>
          <w:rFonts w:ascii="Times New Roman" w:hAnsi="Times New Roman"/>
        </w:rPr>
        <w:t xml:space="preserve">. All liquidity support disbursements are tied to a heavily monitored adjustment program. Recipients are not required to work with the IMF, though the EFSD claims that it is ‘guided’ by the IMF. It also uses IMF benchmarks when assessing various matters, such as corporate governance. An EFSD annual report notes that the manager ‘consulted with the IMF on a regular basis regarding economic policy guidelines for Armenia, Belarus, Kyrgyz Republic, and Tajikistan,’ and that EFSD officials have been discussing coordination initiatives with the Asian Development Bank and the BWIs since 2014 </w:t>
      </w:r>
      <w:r w:rsidR="00891F56">
        <w:rPr>
          <w:rFonts w:ascii="Times New Roman" w:hAnsi="Times New Roman"/>
        </w:rPr>
        <w:fldChar w:fldCharType="begin"/>
      </w:r>
      <w:r w:rsidR="00891F56">
        <w:rPr>
          <w:rFonts w:ascii="Times New Roman" w:hAnsi="Times New Roman"/>
        </w:rPr>
        <w:instrText xml:space="preserve"> ADDIN EN.CITE &lt;EndNote&gt;&lt;Cite ExcludeYear="1"&gt;&lt;Author&gt;EFSD website&lt;/Author&gt;&lt;RecNum&gt;564&lt;/RecNum&gt;&lt;Pages&gt;annual report 2014`,12&lt;/Pages&gt;&lt;DisplayText&gt;(EFSD website, annual report 2014,12)&lt;/DisplayText&gt;&lt;record&gt;&lt;rec-number&gt;564&lt;/rec-number&gt;&lt;foreign-keys&gt;&lt;key app="EN" db-id="x2xf5e95kefpz8e59fcx5psgerr9wepetvet" timestamp="1427747015"&gt;564&lt;/key&gt;&lt;/foreign-keys&gt;&lt;ref-type name="Report"&gt;27&lt;/ref-type&gt;&lt;contributors&gt;&lt;authors&gt;&lt;author&gt;EFSD website, &lt;/author&gt;&lt;/authors&gt;&lt;/contributors&gt;&lt;titles&gt;&lt;title&gt;Eurasian Fund for Stablization and Development. Moscow.  http://efsd.eabr.org/e/&lt;/title&gt;&lt;/titles&gt;&lt;dates&gt;&lt;/dates&gt;&lt;urls&gt;&lt;/urls&gt;&lt;/record&gt;&lt;/Cite&gt;&lt;/EndNote&gt;</w:instrText>
      </w:r>
      <w:r w:rsidR="00891F56">
        <w:rPr>
          <w:rFonts w:ascii="Times New Roman" w:hAnsi="Times New Roman"/>
        </w:rPr>
        <w:fldChar w:fldCharType="separate"/>
      </w:r>
      <w:r w:rsidR="00891F56">
        <w:rPr>
          <w:rFonts w:ascii="Times New Roman" w:hAnsi="Times New Roman"/>
          <w:noProof/>
        </w:rPr>
        <w:t>(EFSD website, annual report 2014,12)</w:t>
      </w:r>
      <w:r w:rsidR="00891F56">
        <w:rPr>
          <w:rFonts w:ascii="Times New Roman" w:hAnsi="Times New Roman"/>
        </w:rPr>
        <w:fldChar w:fldCharType="end"/>
      </w:r>
      <w:r w:rsidRPr="00A77BD5">
        <w:rPr>
          <w:rFonts w:ascii="Times New Roman" w:hAnsi="Times New Roman"/>
        </w:rPr>
        <w:t xml:space="preserve">. The EFSD does not extend credits to countries that are in arrears to the IMF, other multilateral institutions, or EFSD members. However, the EFSD extended a credit to Belarus when the IMF declined to do so. </w:t>
      </w:r>
    </w:p>
    <w:p w14:paraId="34C135AE" w14:textId="2A0DC989"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The EFSD was created during the GFC as a hybrid institution to address two problems—the need for liquidity support and long-term project finance. It recently introduced grants for social programs, which blurs its already hybridized identity. It was explicitly modeled on the IMF and the European Bank for Reconstruction and Development </w:t>
      </w:r>
      <w:r w:rsidR="00891F56">
        <w:rPr>
          <w:rFonts w:ascii="Times New Roman" w:hAnsi="Times New Roman"/>
        </w:rPr>
        <w:fldChar w:fldCharType="begin"/>
      </w:r>
      <w:r w:rsidR="00891F56">
        <w:rPr>
          <w:rFonts w:ascii="Times New Roman" w:hAnsi="Times New Roman"/>
        </w:rPr>
        <w:instrText xml:space="preserve"> ADDIN EN.CITE &lt;EndNote&gt;&lt;Cite&gt;&lt;Author&gt;Fritz&lt;/Author&gt;&lt;Year&gt;2018&lt;/Year&gt;&lt;RecNum&gt;1967&lt;/RecNum&gt;&lt;DisplayText&gt;(Fritz and Mühlich 2018)&lt;/DisplayText&gt;&lt;record&gt;&lt;rec-number&gt;1967&lt;/rec-number&gt;&lt;foreign-keys&gt;&lt;key app="EN" db-id="x2xf5e95kefpz8e59fcx5psgerr9wepetvet" timestamp="1532983090"&gt;1967&lt;/key&gt;&lt;/foreign-keys&gt;&lt;ref-type name="Report"&gt;27&lt;/ref-type&gt;&lt;contributors&gt;&lt;authors&gt;&lt;author&gt;Fritz, Barbara&lt;/author&gt;&lt;author&gt;Mühlich, Laurissa&lt;/author&gt;&lt;/authors&gt;&lt;/contributors&gt;&lt;titles&gt;&lt;title&gt;&lt;style face="normal" font="default" size="100%"&gt;Regional Financial Arrangements in the Global Safety Net: The Arab and the Eurasian Fund,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(Fritz and Mühlich 2018)</w:t>
      </w:r>
      <w:r w:rsidR="00891F56">
        <w:rPr>
          <w:rFonts w:ascii="Times New Roman" w:hAnsi="Times New Roman"/>
        </w:rPr>
        <w:fldChar w:fldCharType="end"/>
      </w:r>
      <w:r w:rsidRPr="00A77BD5">
        <w:rPr>
          <w:rFonts w:ascii="Times New Roman" w:hAnsi="Times New Roman"/>
        </w:rPr>
        <w:t xml:space="preserve">. For that reason it is unsurprising that the EFSD, like the </w:t>
      </w:r>
      <w:proofErr w:type="spellStart"/>
      <w:r w:rsidRPr="00A77BD5">
        <w:rPr>
          <w:rFonts w:ascii="Times New Roman" w:hAnsi="Times New Roman"/>
        </w:rPr>
        <w:t>ArMF</w:t>
      </w:r>
      <w:proofErr w:type="spellEnd"/>
      <w:r w:rsidRPr="00A77BD5">
        <w:rPr>
          <w:rFonts w:ascii="Times New Roman" w:hAnsi="Times New Roman"/>
        </w:rPr>
        <w:t xml:space="preserve">, follows the BWI model of tying voice to contribution; remains firmly committed to conditionality and surveillance; and </w:t>
      </w:r>
      <w:r w:rsidR="00DA63E2" w:rsidRPr="00A77BD5">
        <w:rPr>
          <w:rFonts w:ascii="Times New Roman" w:hAnsi="Times New Roman"/>
        </w:rPr>
        <w:t xml:space="preserve">that </w:t>
      </w:r>
      <w:r w:rsidRPr="00A77BD5">
        <w:rPr>
          <w:rFonts w:ascii="Times New Roman" w:hAnsi="Times New Roman"/>
        </w:rPr>
        <w:t xml:space="preserve">IMF benchmarks and the institution itself play a consultative role and provide technical advice. </w:t>
      </w:r>
    </w:p>
    <w:p w14:paraId="73352ECC" w14:textId="77777777" w:rsidR="00E8035C" w:rsidRPr="00A77BD5" w:rsidRDefault="00E8035C" w:rsidP="004F7552">
      <w:pPr>
        <w:pStyle w:val="NoteLevel1"/>
        <w:numPr>
          <w:ilvl w:val="0"/>
          <w:numId w:val="0"/>
        </w:numPr>
        <w:spacing w:line="360" w:lineRule="auto"/>
        <w:rPr>
          <w:rFonts w:ascii="Times New Roman" w:hAnsi="Times New Roman" w:cs="Times New Roman"/>
        </w:rPr>
      </w:pPr>
      <w:r w:rsidRPr="00A77BD5">
        <w:rPr>
          <w:rFonts w:ascii="Times New Roman" w:hAnsi="Times New Roman" w:cs="Times New Roman"/>
          <w:i/>
        </w:rPr>
        <w:t xml:space="preserve">The Contingent Reserve Arrangement </w:t>
      </w:r>
    </w:p>
    <w:p w14:paraId="5A51391A" w14:textId="0814A7AB" w:rsidR="00E8035C" w:rsidRPr="00A77BD5" w:rsidRDefault="00E8035C" w:rsidP="004F7552">
      <w:pPr>
        <w:spacing w:line="360" w:lineRule="auto"/>
        <w:rPr>
          <w:rFonts w:ascii="Times New Roman" w:hAnsi="Times New Roman"/>
        </w:rPr>
      </w:pPr>
      <w:r w:rsidRPr="00A77BD5">
        <w:rPr>
          <w:rFonts w:ascii="Times New Roman" w:hAnsi="Times New Roman"/>
        </w:rPr>
        <w:t>Cooperation, ex</w:t>
      </w:r>
      <w:r w:rsidR="00707CA5" w:rsidRPr="00A77BD5">
        <w:rPr>
          <w:rFonts w:ascii="Times New Roman" w:hAnsi="Times New Roman"/>
        </w:rPr>
        <w:t>perimentation, and institution</w:t>
      </w:r>
      <w:r w:rsidRPr="00A77BD5">
        <w:rPr>
          <w:rFonts w:ascii="Times New Roman" w:hAnsi="Times New Roman"/>
        </w:rPr>
        <w:t xml:space="preserve"> creation among the BR</w:t>
      </w:r>
      <w:r w:rsidR="00D37D10" w:rsidRPr="00A77BD5">
        <w:rPr>
          <w:rFonts w:ascii="Times New Roman" w:hAnsi="Times New Roman"/>
        </w:rPr>
        <w:t xml:space="preserve">ICS </w:t>
      </w:r>
      <w:r w:rsidR="00DA63E2" w:rsidRPr="00A77BD5">
        <w:rPr>
          <w:rFonts w:ascii="Times New Roman" w:hAnsi="Times New Roman"/>
        </w:rPr>
        <w:t xml:space="preserve">have </w:t>
      </w:r>
      <w:r w:rsidR="00D37D10" w:rsidRPr="00A77BD5">
        <w:rPr>
          <w:rFonts w:ascii="Times New Roman" w:hAnsi="Times New Roman"/>
        </w:rPr>
        <w:t>evolved rapidly since 2012</w:t>
      </w:r>
      <w:r w:rsidRPr="00A77BD5">
        <w:rPr>
          <w:rFonts w:ascii="Times New Roman" w:hAnsi="Times New Roman"/>
        </w:rPr>
        <w:t>. The first financial initiative was launched in 2012 when the five members of the BRICS Exchanges Alliance began cross-listing benchmark equity index derivatives. In the same year BRICS finance ministries agreed to encourage trade between members in bilateral currencies and the group also began to discuss formation of a development bank.</w:t>
      </w:r>
    </w:p>
    <w:p w14:paraId="790870FC" w14:textId="4EB5EFA7" w:rsidR="00E8035C" w:rsidRPr="00A77BD5" w:rsidRDefault="00E8035C" w:rsidP="004F7552">
      <w:pPr>
        <w:spacing w:line="360" w:lineRule="auto"/>
        <w:ind w:firstLine="720"/>
        <w:rPr>
          <w:rFonts w:ascii="Times New Roman" w:hAnsi="Times New Roman"/>
        </w:rPr>
      </w:pPr>
      <w:r w:rsidRPr="00A77BD5">
        <w:rPr>
          <w:rFonts w:ascii="Times New Roman" w:hAnsi="Times New Roman"/>
        </w:rPr>
        <w:t>In what became known as the Fortaleza Declaration, the group announced in 2014 that it had reached agreement on two initiatives—the Contingent Reserve Arrangement (CRA) and the New Development Bank (NDB).</w:t>
      </w:r>
      <w:r w:rsidRPr="00A77BD5">
        <w:rPr>
          <w:rStyle w:val="FootnoteReference"/>
          <w:rFonts w:ascii="Times New Roman" w:hAnsi="Times New Roman"/>
        </w:rPr>
        <w:footnoteReference w:id="8"/>
      </w:r>
      <w:r w:rsidRPr="00A77BD5">
        <w:rPr>
          <w:rFonts w:ascii="Times New Roman" w:hAnsi="Times New Roman"/>
        </w:rPr>
        <w:t xml:space="preserve"> Long-standing frustration with the BWIs was explicit in the Fortaleza Declaration, which stated that ‘International governance structures designed within a different power configuration show increasingly evident signs of losing legitimacy and effectiveness’ </w:t>
      </w:r>
      <w:r w:rsidR="00891F56">
        <w:rPr>
          <w:rFonts w:ascii="Times New Roman" w:hAnsi="Times New Roman"/>
        </w:rPr>
        <w:fldChar w:fldCharType="begin"/>
      </w:r>
      <w:r w:rsidR="00891F56">
        <w:rPr>
          <w:rFonts w:ascii="Times New Roman" w:hAnsi="Times New Roman"/>
        </w:rPr>
        <w:instrText xml:space="preserve"> ADDIN EN.CITE &lt;EndNote&gt;&lt;Cite&gt;&lt;Author&gt;BRICS&lt;/Author&gt;&lt;Year&gt;2014&lt;/Year&gt;&lt;RecNum&gt;1725&lt;/RecNum&gt;&lt;DisplayText&gt;(BRICS 2014)&lt;/DisplayText&gt;&lt;record&gt;&lt;rec-number&gt;1725&lt;/rec-number&gt;&lt;foreign-keys&gt;&lt;key app="EN" db-id="x2xf5e95kefpz8e59fcx5psgerr9wepetvet" timestamp="1475591416"&gt;1725&lt;/key&gt;&lt;/foreign-keys&gt;&lt;ref-type name="Report"&gt;27&lt;/ref-type&gt;&lt;contributors&gt;&lt;authors&gt;&lt;author&gt;BRICS&lt;/author&gt;&lt;/authors&gt;&lt;/contributors&gt;&lt;titles&gt;&lt;title&gt;Sixth Summit: Fortaleza Declaration and Action Plan. Fortaleza, Brazil, July 15. http://brics.itamaraty.gov.br/category-english/21-documents/223-sixth-summit-declaration-and-action-plan&lt;/title&gt;&lt;/titles&gt;&lt;dates&gt;&lt;year&gt;2014&lt;/year&gt;&lt;/dates&gt;&lt;urls&gt;&lt;/urls&gt;&lt;/record&gt;&lt;/Cite&gt;&lt;/EndNote&gt;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(BRICS 2014)</w:t>
      </w:r>
      <w:r w:rsidR="00891F56">
        <w:rPr>
          <w:rFonts w:ascii="Times New Roman" w:hAnsi="Times New Roman"/>
        </w:rPr>
        <w:fldChar w:fldCharType="end"/>
      </w:r>
      <w:r w:rsidRPr="00A77BD5">
        <w:rPr>
          <w:rFonts w:ascii="Times New Roman" w:hAnsi="Times New Roman"/>
        </w:rPr>
        <w:t>. Notwithstanding the bold language, the declaration also made clear that the CRA and NDB were to be complements, not substitutes for the BWIs.</w:t>
      </w:r>
    </w:p>
    <w:p w14:paraId="53E36BE1" w14:textId="1833DA68"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The CRA is meant to provide liquidity protection (including precautionary support) through currency swaps to members during balance of payments crises. Pledges by China, Brazil, India, and Russia to the CRA are nearly equal to their IMF quotas. No single member is to have effective veto power over fundamental changes in the CRA. Criteria to be used in decisions pertaining to support are still under development. Countries applying for support from the CRA in amounts above 30% of their eligibility must be under an IMF program. The most controversial aspect of the CRA rests precisely in the decision to replicate the CMIM-IMF link. </w:t>
      </w:r>
    </w:p>
    <w:p w14:paraId="56AE8C26" w14:textId="08193F75" w:rsidR="00E8035C"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rPr>
        <w:t xml:space="preserve">The launch of the CRA triggered an avalanche of commentary that broke down along the lines of Hirschman’s </w:t>
      </w:r>
      <w:proofErr w:type="spellStart"/>
      <w:r w:rsidRPr="00A77BD5">
        <w:rPr>
          <w:rFonts w:ascii="Times New Roman" w:hAnsi="Times New Roman"/>
        </w:rPr>
        <w:t>possibilists</w:t>
      </w:r>
      <w:proofErr w:type="spellEnd"/>
      <w:r w:rsidRPr="00A77BD5">
        <w:rPr>
          <w:rFonts w:ascii="Times New Roman" w:hAnsi="Times New Roman"/>
        </w:rPr>
        <w:t xml:space="preserve"> and </w:t>
      </w:r>
      <w:proofErr w:type="spellStart"/>
      <w:r w:rsidRPr="00A77BD5">
        <w:rPr>
          <w:rFonts w:ascii="Times New Roman" w:hAnsi="Times New Roman"/>
        </w:rPr>
        <w:t>futilists</w:t>
      </w:r>
      <w:proofErr w:type="spellEnd"/>
      <w:r w:rsidRPr="00A77BD5">
        <w:rPr>
          <w:rFonts w:ascii="Times New Roman" w:hAnsi="Times New Roman"/>
        </w:rPr>
        <w:t xml:space="preserve">. </w:t>
      </w:r>
      <w:proofErr w:type="spellStart"/>
      <w:r w:rsidRPr="00A77BD5">
        <w:rPr>
          <w:rFonts w:ascii="Times New Roman" w:hAnsi="Times New Roman"/>
        </w:rPr>
        <w:t>Futilists</w:t>
      </w:r>
      <w:proofErr w:type="spellEnd"/>
      <w:r w:rsidRPr="00A77BD5">
        <w:rPr>
          <w:rFonts w:ascii="Times New Roman" w:hAnsi="Times New Roman"/>
        </w:rPr>
        <w:t xml:space="preserve"> dismissed the empty symbolism of the CRA, emphasizing the decision to replicate the CMIM-IMF link, the small size of CRA resources relative to potential demands, and the dollar-based funding commitments to the CRA that reinforce the currency’s global role </w:t>
      </w:r>
      <w:r w:rsidR="00891F56">
        <w:rPr>
          <w:rFonts w:ascii="Times New Roman" w:hAnsi="Times New Roman"/>
        </w:rPr>
        <w:fldChar w:fldCharType="begin"/>
      </w:r>
      <w:r w:rsidR="00891F56">
        <w:rPr>
          <w:rFonts w:ascii="Times New Roman" w:hAnsi="Times New Roman"/>
        </w:rPr>
        <w:instrText xml:space="preserve"> ADDIN EN.CITE &lt;EndNote&gt;&lt;Cite&gt;&lt;Author&gt;Chandrasekhar&lt;/Author&gt;&lt;Year&gt;2014&lt;/Year&gt;&lt;RecNum&gt;570&lt;/RecNum&gt;&lt;DisplayText&gt;(Chandrasekhar 2014)&lt;/DisplayText&gt;&lt;record&gt;&lt;rec-number&gt;570&lt;/rec-number&gt;&lt;foreign-keys&gt;&lt;key app="EN" db-id="x2xf5e95kefpz8e59fcx5psgerr9wepetvet" timestamp="1427816146"&gt;570&lt;/key&gt;&lt;/foreign-keys&gt;&lt;ref-type name="Journal Article"&gt;17&lt;/ref-type&gt;&lt;contributors&gt;&lt;authors&gt;&lt;author&gt;Chandrasekhar, C. P.&lt;/author&gt;&lt;/authors&gt;&lt;/contributors&gt;&lt;titles&gt;&lt;title&gt;Banking with a Difference&lt;/title&gt;&lt;secondary-title&gt;Economic and Political Weekly&lt;/secondary-title&gt;&lt;/titles&gt;&lt;periodical&gt;&lt;full-title&gt;Economic and Political Weekly&lt;/full-title&gt;&lt;/periodical&gt;&lt;pages&gt;10-12&lt;/pages&gt;&lt;volume&gt;XLIX&lt;/volume&gt;&lt;number&gt;32&lt;/number&gt;&lt;dates&gt;&lt;year&gt;2014&lt;/year&gt;&lt;/dates&gt;&lt;urls&gt;&lt;/urls&gt;&lt;/record&gt;&lt;/Cite&gt;&lt;/EndNote&gt;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(Chandrasekhar 2014)</w:t>
      </w:r>
      <w:r w:rsidR="00891F56">
        <w:rPr>
          <w:rFonts w:ascii="Times New Roman" w:hAnsi="Times New Roman"/>
        </w:rPr>
        <w:fldChar w:fldCharType="end"/>
      </w:r>
      <w:r w:rsidR="00AD65B2" w:rsidRPr="00A77BD5">
        <w:rPr>
          <w:rFonts w:ascii="Times New Roman" w:hAnsi="Times New Roman"/>
        </w:rPr>
        <w:t>. S</w:t>
      </w:r>
      <w:r w:rsidRPr="00A77BD5">
        <w:rPr>
          <w:rFonts w:ascii="Times New Roman" w:hAnsi="Times New Roman"/>
        </w:rPr>
        <w:t xml:space="preserve">keptics emphasize what they see as fatal internal tensions that will continue to disrupt the group’s cohesiveness and its potential to transform financial governance </w:t>
      </w:r>
      <w:r w:rsidR="00891F56">
        <w:rPr>
          <w:rFonts w:ascii="Times New Roman" w:hAnsi="Times New Roman"/>
        </w:rPr>
        <w:fldChar w:fldCharType="begin"/>
      </w:r>
      <w:r w:rsidR="00891F56">
        <w:rPr>
          <w:rFonts w:ascii="Times New Roman" w:hAnsi="Times New Roman"/>
        </w:rPr>
        <w:instrText xml:space="preserve"> ADDIN EN.CITE &lt;EndNote&gt;&lt;Cite&gt;&lt;Author&gt;Huotari&lt;/Author&gt;&lt;Year&gt;2014&lt;/Year&gt;&lt;RecNum&gt;529&lt;/RecNum&gt;&lt;DisplayText&gt;(Huotari and Hanemann 2014)&lt;/DisplayText&gt;&lt;record&gt;&lt;rec-number&gt;529&lt;/rec-number&gt;&lt;foreign-keys&gt;&lt;key app="EN" db-id="x2xf5e95kefpz8e59fcx5psgerr9wepetvet" timestamp="1427655290"&gt;529&lt;/key&gt;&lt;/foreign-keys&gt;&lt;ref-type name="Journal Article"&gt;17&lt;/ref-type&gt;&lt;contributors&gt;&lt;authors&gt;&lt;author&gt;Huotari, Mikko&lt;/author&gt;&lt;author&gt;Thilo Hanemann&lt;/author&gt;&lt;/authors&gt;&lt;/contributors&gt;&lt;titles&gt;&lt;title&gt;Emerging Powers and Change in the Global Financial Order&lt;/title&gt;&lt;secondary-title&gt;Global Policy&lt;/secondary-title&gt;&lt;/titles&gt;&lt;periodical&gt;&lt;full-title&gt;Global Policy&lt;/full-title&gt;&lt;/periodical&gt;&lt;pages&gt;298-310&lt;/pages&gt;&lt;volume&gt;5&lt;/volume&gt;&lt;number&gt;3&lt;/number&gt;&lt;dates&gt;&lt;year&gt;2014&lt;/year&gt;&lt;/dates&gt;&lt;urls&gt;&lt;/urls&gt;&lt;electronic-resource-num&gt;10.1111/1758-5899.12133&lt;/electronic-resource-num&gt;&lt;/record&gt;&lt;/Cite&gt;&lt;/EndNote&gt;</w:instrText>
      </w:r>
      <w:r w:rsidR="00891F56">
        <w:rPr>
          <w:rFonts w:ascii="Times New Roman" w:hAnsi="Times New Roman"/>
        </w:rPr>
        <w:fldChar w:fldCharType="separate"/>
      </w:r>
      <w:r w:rsidR="00891F56">
        <w:rPr>
          <w:rFonts w:ascii="Times New Roman" w:hAnsi="Times New Roman"/>
          <w:noProof/>
        </w:rPr>
        <w:t>(Huotari and Hanemann 2014)</w:t>
      </w:r>
      <w:r w:rsidR="00891F56">
        <w:rPr>
          <w:rFonts w:ascii="Times New Roman" w:hAnsi="Times New Roman"/>
        </w:rPr>
        <w:fldChar w:fldCharType="end"/>
      </w:r>
      <w:r w:rsidRPr="00A77BD5">
        <w:rPr>
          <w:rFonts w:ascii="Times New Roman" w:hAnsi="Times New Roman"/>
        </w:rPr>
        <w:t>. Others emphasize the ‘</w:t>
      </w:r>
      <w:proofErr w:type="spellStart"/>
      <w:r w:rsidRPr="00A77BD5">
        <w:rPr>
          <w:rFonts w:ascii="Times New Roman" w:hAnsi="Times New Roman"/>
        </w:rPr>
        <w:t>subimperial</w:t>
      </w:r>
      <w:proofErr w:type="spellEnd"/>
      <w:r w:rsidRPr="00A77BD5">
        <w:rPr>
          <w:rFonts w:ascii="Times New Roman" w:hAnsi="Times New Roman"/>
        </w:rPr>
        <w:t xml:space="preserve">’ tendencies of the </w:t>
      </w:r>
      <w:r w:rsidR="004F7627" w:rsidRPr="00A77BD5">
        <w:rPr>
          <w:rFonts w:ascii="Times New Roman" w:hAnsi="Times New Roman"/>
        </w:rPr>
        <w:t xml:space="preserve">group </w:t>
      </w:r>
      <w:r w:rsidRPr="00A77BD5">
        <w:rPr>
          <w:rFonts w:ascii="Times New Roman" w:hAnsi="Times New Roman"/>
        </w:rPr>
        <w:t xml:space="preserve">while still others dismiss the BRICS in light of growth slowdowns </w:t>
      </w:r>
      <w:r w:rsidR="00891F56">
        <w:rPr>
          <w:rFonts w:ascii="Times New Roman" w:hAnsi="Times New Roman"/>
        </w:rPr>
        <w:fldChar w:fldCharType="begin"/>
      </w:r>
      <w:r w:rsidR="00891F56">
        <w:rPr>
          <w:rFonts w:ascii="Times New Roman" w:hAnsi="Times New Roman"/>
        </w:rPr>
        <w:instrText xml:space="preserve"> ADDIN EN.CITE &lt;EndNote&gt;&lt;Cite&gt;&lt;Author&gt;Bond&lt;/Author&gt;&lt;Year&gt;2016&lt;/Year&gt;&lt;RecNum&gt;1699&lt;/RecNum&gt;&lt;DisplayText&gt;(Bond 2016)&lt;/DisplayText&gt;&lt;record&gt;&lt;rec-number&gt;1699&lt;/rec-number&gt;&lt;foreign-keys&gt;&lt;key app="EN" db-id="x2xf5e95kefpz8e59fcx5psgerr9wepetvet" timestamp="1475354482"&gt;1699&lt;/key&gt;&lt;/foreign-keys&gt;&lt;ref-type name="Journal Article"&gt;17&lt;/ref-type&gt;&lt;contributors&gt;&lt;authors&gt;&lt;author&gt;Bond, Patrick&lt;/author&gt;&lt;/authors&gt;&lt;/contributors&gt;&lt;titles&gt;&lt;title&gt;BRICS Banking and the Debate over Sub-imperialism&lt;/title&gt;&lt;secondary-title&gt;Third World Quarterly&lt;/secondary-title&gt;&lt;/titles&gt;&lt;periodical&gt;&lt;full-title&gt;Third World Quarterly&lt;/full-title&gt;&lt;/periodical&gt;&lt;pages&gt;611-29&lt;/pages&gt;&lt;volume&gt;37&lt;/volume&gt;&lt;number&gt;4&lt;/number&gt;&lt;dates&gt;&lt;year&gt;2016&lt;/year&gt;&lt;/dates&gt;&lt;urls&gt;&lt;/urls&gt;&lt;/record&gt;&lt;/Cite&gt;&lt;/EndNote&gt;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(Bond 2016)</w:t>
      </w:r>
      <w:r w:rsidR="00891F56">
        <w:rPr>
          <w:rFonts w:ascii="Times New Roman" w:hAnsi="Times New Roman"/>
        </w:rPr>
        <w:fldChar w:fldCharType="end"/>
      </w:r>
      <w:r w:rsidR="00CF5EAE">
        <w:rPr>
          <w:rFonts w:ascii="Times New Roman" w:hAnsi="Times New Roman"/>
        </w:rPr>
        <w:t>.</w:t>
      </w:r>
    </w:p>
    <w:p w14:paraId="01437FDA" w14:textId="4F306E02" w:rsidR="00E8035C" w:rsidRPr="00A77BD5" w:rsidRDefault="00E8035C" w:rsidP="004F7552">
      <w:pPr>
        <w:pStyle w:val="FootnoteText"/>
        <w:spacing w:line="360" w:lineRule="auto"/>
        <w:ind w:firstLine="720"/>
        <w:rPr>
          <w:rFonts w:ascii="Times New Roman" w:hAnsi="Times New Roman"/>
        </w:rPr>
      </w:pPr>
      <w:proofErr w:type="spellStart"/>
      <w:r w:rsidRPr="00A77BD5">
        <w:rPr>
          <w:rFonts w:ascii="Times New Roman" w:hAnsi="Times New Roman"/>
        </w:rPr>
        <w:t>Possibilists</w:t>
      </w:r>
      <w:proofErr w:type="spellEnd"/>
      <w:r w:rsidRPr="00A77BD5">
        <w:rPr>
          <w:rFonts w:ascii="Times New Roman" w:hAnsi="Times New Roman"/>
        </w:rPr>
        <w:t xml:space="preserve"> are not persuaded. In the </w:t>
      </w:r>
      <w:proofErr w:type="spellStart"/>
      <w:r w:rsidRPr="00A77BD5">
        <w:rPr>
          <w:rFonts w:ascii="Times New Roman" w:hAnsi="Times New Roman"/>
        </w:rPr>
        <w:t>possibilist</w:t>
      </w:r>
      <w:proofErr w:type="spellEnd"/>
      <w:r w:rsidRPr="00A77BD5">
        <w:rPr>
          <w:rFonts w:ascii="Times New Roman" w:hAnsi="Times New Roman"/>
        </w:rPr>
        <w:t xml:space="preserve"> view, the CRA (warts and all) is part of an evolving, fragmenting GFA in which institutional experimentation is becoming the ‘new normal.’ From this perspective, the CRA complements existing institutions and advances the growing disbursal of economic power while holding the potential to increase the voice of EMDEs in the BWIs and GFA either directly or through the leverage associated with forum shopping </w:t>
      </w:r>
      <w:r w:rsidR="00891F56">
        <w:rPr>
          <w:rFonts w:ascii="Times New Roman" w:hAnsi="Times New Roman"/>
        </w:rPr>
        <w:fldChar w:fldCharType="begin">
          <w:fldData xml:space="preserve">PEVuZE5vdGU+PENpdGU+PEF1dGhvcj5Bcm1pam88L0F1dGhvcj48WWVhcj4yMDE0PC9ZZWFyPjxS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</w:fldData>
        </w:fldChar>
      </w:r>
      <w:r w:rsidR="00891F56">
        <w:rPr>
          <w:rFonts w:ascii="Times New Roman" w:hAnsi="Times New Roman"/>
        </w:rPr>
        <w:instrText xml:space="preserve"> ADDIN EN.CITE </w:instrText>
      </w:r>
      <w:r w:rsidR="00891F56">
        <w:rPr>
          <w:rFonts w:ascii="Times New Roman" w:hAnsi="Times New Roman"/>
        </w:rPr>
        <w:fldChar w:fldCharType="begin">
          <w:fldData xml:space="preserve">PEVuZE5vdGU+PENpdGU+PEF1dGhvcj5Bcm1pam88L0F1dGhvcj48WWVhcj4yMDE0PC9ZZWFyPjxS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</w:fldData>
        </w:fldChar>
      </w:r>
      <w:r w:rsidR="00891F56">
        <w:rPr>
          <w:rFonts w:ascii="Times New Roman" w:hAnsi="Times New Roman"/>
        </w:rPr>
        <w:instrText xml:space="preserve"> ADDIN EN.CITE.DATA </w:instrText>
      </w:r>
      <w:r w:rsidR="00891F56">
        <w:rPr>
          <w:rFonts w:ascii="Times New Roman" w:hAnsi="Times New Roman"/>
        </w:rPr>
      </w:r>
      <w:r w:rsidR="00891F56">
        <w:rPr>
          <w:rFonts w:ascii="Times New Roman" w:hAnsi="Times New Roman"/>
        </w:rPr>
        <w:fldChar w:fldCharType="end"/>
      </w:r>
      <w:r w:rsidR="00891F56">
        <w:rPr>
          <w:rFonts w:ascii="Times New Roman" w:hAnsi="Times New Roman"/>
        </w:rPr>
      </w:r>
      <w:r w:rsidR="00891F56">
        <w:rPr>
          <w:rFonts w:ascii="Times New Roman" w:hAnsi="Times New Roman"/>
        </w:rPr>
        <w:fldChar w:fldCharType="separate"/>
      </w:r>
      <w:r w:rsidR="00891F56">
        <w:rPr>
          <w:rFonts w:ascii="Times New Roman" w:hAnsi="Times New Roman"/>
          <w:noProof/>
        </w:rPr>
        <w:t>(Armijo and Roberts 2014, Grabel 2013, Stuenkel 2016)</w:t>
      </w:r>
      <w:r w:rsidR="00891F56">
        <w:rPr>
          <w:rFonts w:ascii="Times New Roman" w:hAnsi="Times New Roman"/>
        </w:rPr>
        <w:fldChar w:fldCharType="end"/>
      </w:r>
      <w:r w:rsidRPr="00A77BD5">
        <w:rPr>
          <w:rFonts w:ascii="Times New Roman" w:hAnsi="Times New Roman"/>
        </w:rPr>
        <w:t xml:space="preserve">. For </w:t>
      </w:r>
      <w:proofErr w:type="spellStart"/>
      <w:r w:rsidRPr="00A77BD5">
        <w:rPr>
          <w:rFonts w:ascii="Times New Roman" w:hAnsi="Times New Roman"/>
        </w:rPr>
        <w:t>possibilists</w:t>
      </w:r>
      <w:proofErr w:type="spellEnd"/>
      <w:r w:rsidRPr="00A77BD5">
        <w:rPr>
          <w:rFonts w:ascii="Times New Roman" w:hAnsi="Times New Roman"/>
        </w:rPr>
        <w:t>, the CRA is one among many parallel experiments that provide opportunities for learning, problem solving, and deepening networks</w:t>
      </w:r>
      <w:r w:rsidR="005A7A74" w:rsidRPr="00A77BD5">
        <w:rPr>
          <w:rFonts w:ascii="Times New Roman" w:hAnsi="Times New Roman"/>
        </w:rPr>
        <w:t xml:space="preserve"> even while recognizing that </w:t>
      </w:r>
      <w:r w:rsidRPr="00A77BD5">
        <w:rPr>
          <w:rFonts w:ascii="Times New Roman" w:hAnsi="Times New Roman"/>
        </w:rPr>
        <w:t xml:space="preserve">the impact of the BRICS and their various </w:t>
      </w:r>
      <w:r w:rsidR="006121D8" w:rsidRPr="00A77BD5">
        <w:rPr>
          <w:rFonts w:ascii="Times New Roman" w:hAnsi="Times New Roman"/>
        </w:rPr>
        <w:t xml:space="preserve">initiatives will be uneven and </w:t>
      </w:r>
      <w:r w:rsidRPr="00A77BD5">
        <w:rPr>
          <w:rFonts w:ascii="Times New Roman" w:hAnsi="Times New Roman"/>
        </w:rPr>
        <w:t xml:space="preserve">contradictory, reflecting enduring tensions within each of its member states, among its members, and between members and other actors. But that is equally true of all complex institutions and their endeavors—they are not adequately described by exclusive reference to their formal mission statements or just one aspect of their practice. </w:t>
      </w:r>
    </w:p>
    <w:p w14:paraId="4738591C" w14:textId="5E3C1FA0" w:rsidR="00E8035C" w:rsidRPr="00A77BD5" w:rsidRDefault="00E8035C" w:rsidP="004F7552">
      <w:pPr>
        <w:spacing w:line="360" w:lineRule="auto"/>
        <w:ind w:firstLine="720"/>
        <w:rPr>
          <w:rFonts w:ascii="Times New Roman" w:hAnsi="Times New Roman"/>
        </w:rPr>
      </w:pPr>
      <w:r w:rsidRPr="00A77BD5">
        <w:rPr>
          <w:rFonts w:ascii="Times New Roman" w:hAnsi="Times New Roman"/>
        </w:rPr>
        <w:t>It is unrealistic to treat the BRICS initiatives as a challenge to the US and the BWIs. That said</w:t>
      </w:r>
      <w:proofErr w:type="gramStart"/>
      <w:r w:rsidRPr="00A77BD5">
        <w:rPr>
          <w:rFonts w:ascii="Times New Roman" w:hAnsi="Times New Roman"/>
        </w:rPr>
        <w:t>,</w:t>
      </w:r>
      <w:proofErr w:type="gramEnd"/>
      <w:r w:rsidRPr="00A77BD5">
        <w:rPr>
          <w:rFonts w:ascii="Times New Roman" w:hAnsi="Times New Roman"/>
        </w:rPr>
        <w:t xml:space="preserve"> the BRICS group has often managed</w:t>
      </w:r>
      <w:r w:rsidR="00456EA7" w:rsidRPr="00A77BD5">
        <w:rPr>
          <w:rFonts w:ascii="Times New Roman" w:hAnsi="Times New Roman"/>
        </w:rPr>
        <w:t xml:space="preserve"> to work around</w:t>
      </w:r>
      <w:r w:rsidRPr="00A77BD5">
        <w:rPr>
          <w:rFonts w:ascii="Times New Roman" w:hAnsi="Times New Roman"/>
        </w:rPr>
        <w:t xml:space="preserve"> differences and persistent fissures to reach consensus. And the continual evolution in the BRICS agenda and institutional creation is suggestive of commitment and capacity to engage in problem solving.  It is also true that critical issues (e.g., China’s voice and the CRA-IMF link) must be addressed before the CRA can disburse funds. But these obstacles are not insurmountable, though a slowdown in several BRICS economies</w:t>
      </w:r>
      <w:r w:rsidR="00217E6B" w:rsidRPr="00A77BD5">
        <w:rPr>
          <w:rFonts w:ascii="Times New Roman" w:hAnsi="Times New Roman"/>
        </w:rPr>
        <w:t xml:space="preserve"> and the rightward shift of Brazil’s</w:t>
      </w:r>
      <w:r w:rsidRPr="00A77BD5">
        <w:rPr>
          <w:rFonts w:ascii="Times New Roman" w:hAnsi="Times New Roman"/>
        </w:rPr>
        <w:t xml:space="preserve"> government may slow progress. Despite the inevitable false starts and reversals the CRA may ultimately develop independent, well-resourced, and technically competent surveillance capacity and as that occurs, the IMF link may lessen or be eliminated. For these reasons, the CRA may carry potential to catalyze change through its own internal performance, learning, through competition or cooperation with other liquidity arrangements, and through the example it sets for other institutions </w:t>
      </w:r>
      <w:r w:rsidR="00891F56">
        <w:rPr>
          <w:rFonts w:ascii="Times New Roman" w:hAnsi="Times New Roman"/>
        </w:rPr>
        <w:fldChar w:fldCharType="begin"/>
      </w:r>
      <w:r w:rsidR="00891F56">
        <w:rPr>
          <w:rFonts w:ascii="Times New Roman" w:hAnsi="Times New Roman"/>
        </w:rPr>
        <w:instrText xml:space="preserve"> ADDIN EN.CITE &lt;EndNote&gt;&lt;Cite&gt;&lt;Author&gt;Griffith-Jones&lt;/Author&gt;&lt;Year&gt;2014&lt;/Year&gt;&lt;RecNum&gt;571&lt;/RecNum&gt;&lt;DisplayText&gt;(Griffith-Jones, Fritz, and Cintra 2014)&lt;/DisplayText&gt;&lt;record&gt;&lt;rec-number&gt;571&lt;/rec-number&gt;&lt;foreign-keys&gt;&lt;key app="EN" db-id="x2xf5e95kefpz8e59fcx5psgerr9wepetvet" timestamp="1427816400"&gt;571&lt;/key&gt;&lt;/foreign-keys&gt;&lt;ref-type name="Newspaper Article"&gt;23&lt;/ref-type&gt;&lt;contributors&gt;&lt;authors&gt;&lt;author&gt;Griffith-Jones, Stephany&lt;/author&gt;&lt;author&gt;Fritz, Barbara&lt;/author&gt;&lt;author&gt;Cintra, Marcos Antonio&lt;/author&gt;&lt;/authors&gt;&lt;/contributors&gt;&lt;titles&gt;&lt;title&gt;The BRICS Contingent Reserve Arrangement Is a Step Towards More Financial Stability&lt;/title&gt;&lt;secondary-title&gt;recoveryhumanface.org&lt;/secondary-title&gt;&lt;/titles&gt;&lt;dates&gt;&lt;year&gt;2014&lt;/year&gt;&lt;pub-dates&gt;&lt;date&gt;July 24&lt;/date&gt;&lt;/pub-dates&gt;&lt;/dates&gt;&lt;urls&gt;&lt;related-urls&gt;&lt;url&gt;http://www.recoveryhumanface.org/e-discussion-2013/archives/07-2014&lt;/url&gt;&lt;/related-urls&gt;&lt;/urls&gt;&lt;/record&gt;&lt;/Cite&gt;&lt;/EndNote&gt;</w:instrText>
      </w:r>
      <w:r w:rsidR="00891F56">
        <w:rPr>
          <w:rFonts w:ascii="Times New Roman" w:hAnsi="Times New Roman"/>
        </w:rPr>
        <w:fldChar w:fldCharType="separate"/>
      </w:r>
      <w:r w:rsidR="00891F56">
        <w:rPr>
          <w:rFonts w:ascii="Times New Roman" w:hAnsi="Times New Roman"/>
          <w:noProof/>
        </w:rPr>
        <w:t>(Griffith-Jones, Fritz, and Cintra 2014)</w:t>
      </w:r>
      <w:r w:rsidR="00891F56">
        <w:rPr>
          <w:rFonts w:ascii="Times New Roman" w:hAnsi="Times New Roman"/>
        </w:rPr>
        <w:fldChar w:fldCharType="end"/>
      </w:r>
      <w:r w:rsidRPr="00A77BD5">
        <w:rPr>
          <w:rFonts w:ascii="Times New Roman" w:hAnsi="Times New Roman"/>
        </w:rPr>
        <w:t xml:space="preserve">. </w:t>
      </w:r>
    </w:p>
    <w:p w14:paraId="57BF66D1" w14:textId="77777777" w:rsidR="00E8035C" w:rsidRPr="00A77BD5" w:rsidRDefault="00E8035C" w:rsidP="004F7552">
      <w:pPr>
        <w:pStyle w:val="FootnoteText"/>
        <w:spacing w:line="360" w:lineRule="auto"/>
        <w:rPr>
          <w:rFonts w:ascii="Times New Roman" w:hAnsi="Times New Roman"/>
          <w:b/>
        </w:rPr>
      </w:pPr>
      <w:r w:rsidRPr="00A77BD5">
        <w:rPr>
          <w:rFonts w:ascii="Times New Roman" w:hAnsi="Times New Roman"/>
          <w:b/>
        </w:rPr>
        <w:t>Development Banks</w:t>
      </w:r>
    </w:p>
    <w:p w14:paraId="58466DB1" w14:textId="3A2CFCA2" w:rsidR="00E8035C" w:rsidRPr="00A77BD5" w:rsidRDefault="00E8035C" w:rsidP="004F7552">
      <w:pPr>
        <w:pStyle w:val="FootnoteText"/>
        <w:spacing w:line="360" w:lineRule="auto"/>
        <w:rPr>
          <w:rFonts w:ascii="Times New Roman" w:hAnsi="Times New Roman"/>
        </w:rPr>
      </w:pPr>
      <w:r w:rsidRPr="00A77BD5">
        <w:rPr>
          <w:rFonts w:ascii="Times New Roman" w:hAnsi="Times New Roman"/>
        </w:rPr>
        <w:t>Development banks in EMDEs were created to address the shortage of project and infrastructure finance, which remains a</w:t>
      </w:r>
      <w:r w:rsidR="0014608B">
        <w:rPr>
          <w:rFonts w:ascii="Times New Roman" w:hAnsi="Times New Roman"/>
        </w:rPr>
        <w:t xml:space="preserve"> critical deficiency of the GFA</w:t>
      </w:r>
      <w:r w:rsidRPr="00A77BD5">
        <w:rPr>
          <w:rFonts w:ascii="Times New Roman" w:hAnsi="Times New Roman"/>
        </w:rPr>
        <w:t xml:space="preserve">. Discussion here is brief for reasons of space and because the activities of EMDE and especially Chinese-led development banks are well known and discussed extensively in the symposium. </w:t>
      </w:r>
    </w:p>
    <w:p w14:paraId="20EAF552" w14:textId="77777777" w:rsidR="00E8035C" w:rsidRPr="00A77BD5" w:rsidRDefault="00E8035C" w:rsidP="004F7552">
      <w:pPr>
        <w:spacing w:line="360" w:lineRule="auto"/>
        <w:rPr>
          <w:rFonts w:ascii="Times New Roman" w:hAnsi="Times New Roman"/>
          <w:i/>
        </w:rPr>
      </w:pPr>
      <w:r w:rsidRPr="00A77BD5">
        <w:rPr>
          <w:rFonts w:ascii="Times New Roman" w:hAnsi="Times New Roman"/>
          <w:i/>
        </w:rPr>
        <w:t xml:space="preserve">Banks That Predated the GFC </w:t>
      </w:r>
    </w:p>
    <w:p w14:paraId="70D21258" w14:textId="339E64B8" w:rsidR="00E8035C" w:rsidRPr="00A77BD5" w:rsidRDefault="00E8035C" w:rsidP="004F7552">
      <w:pPr>
        <w:spacing w:line="360" w:lineRule="auto"/>
        <w:rPr>
          <w:rFonts w:ascii="Times New Roman" w:eastAsia="Times New Roman" w:hAnsi="Times New Roman"/>
        </w:rPr>
      </w:pPr>
      <w:r w:rsidRPr="00A77BD5">
        <w:rPr>
          <w:rFonts w:ascii="Times New Roman" w:hAnsi="Times New Roman"/>
        </w:rPr>
        <w:t xml:space="preserve">Several EMDE development banks vastly expanded their capacity to provide project finance in response to the problems caused by the flight of private lenders from markets. The expansion of disbursements played a critical role in sustaining investment and the economy during the GFC. Examples include the </w:t>
      </w:r>
      <w:proofErr w:type="spellStart"/>
      <w:r w:rsidR="00285278" w:rsidRPr="00CB2922">
        <w:rPr>
          <w:rFonts w:ascii="Times New Roman" w:eastAsia="Times New Roman" w:hAnsi="Times New Roman" w:cs="Arial"/>
          <w:shd w:val="clear" w:color="auto" w:fill="FFFFFF"/>
        </w:rPr>
        <w:t>Banco</w:t>
      </w:r>
      <w:proofErr w:type="spellEnd"/>
      <w:r w:rsidR="00285278" w:rsidRPr="00CB2922">
        <w:rPr>
          <w:rFonts w:ascii="Times New Roman" w:eastAsia="Times New Roman" w:hAnsi="Times New Roman" w:cs="Arial"/>
          <w:shd w:val="clear" w:color="auto" w:fill="FFFFFF"/>
        </w:rPr>
        <w:t xml:space="preserve"> de </w:t>
      </w:r>
      <w:proofErr w:type="spellStart"/>
      <w:r w:rsidR="00285278" w:rsidRPr="00CB2922">
        <w:rPr>
          <w:rFonts w:ascii="Times New Roman" w:eastAsia="Times New Roman" w:hAnsi="Times New Roman" w:cs="Arial"/>
          <w:shd w:val="clear" w:color="auto" w:fill="FFFFFF"/>
        </w:rPr>
        <w:t>Desarrollo</w:t>
      </w:r>
      <w:proofErr w:type="spellEnd"/>
      <w:r w:rsidR="00285278" w:rsidRPr="00CB2922">
        <w:rPr>
          <w:rFonts w:ascii="Times New Roman" w:eastAsia="Times New Roman" w:hAnsi="Times New Roman" w:cs="Arial"/>
          <w:shd w:val="clear" w:color="auto" w:fill="FFFFFF"/>
        </w:rPr>
        <w:t xml:space="preserve"> de </w:t>
      </w:r>
      <w:proofErr w:type="spellStart"/>
      <w:r w:rsidR="00285278" w:rsidRPr="00CB2922">
        <w:rPr>
          <w:rFonts w:ascii="Times New Roman" w:eastAsia="Times New Roman" w:hAnsi="Times New Roman" w:cs="Arial"/>
          <w:shd w:val="clear" w:color="auto" w:fill="FFFFFF"/>
        </w:rPr>
        <w:t>América</w:t>
      </w:r>
      <w:proofErr w:type="spellEnd"/>
      <w:r w:rsidR="00285278" w:rsidRPr="00CB2922">
        <w:rPr>
          <w:rFonts w:ascii="Times New Roman" w:eastAsia="Times New Roman" w:hAnsi="Times New Roman" w:cs="Arial"/>
          <w:shd w:val="clear" w:color="auto" w:fill="FFFFFF"/>
        </w:rPr>
        <w:t xml:space="preserve"> Latina</w:t>
      </w:r>
      <w:r w:rsidR="004A7F65" w:rsidRPr="00CB2922">
        <w:rPr>
          <w:rFonts w:ascii="Times New Roman" w:eastAsia="Times New Roman" w:hAnsi="Times New Roman"/>
        </w:rPr>
        <w:t xml:space="preserve"> </w:t>
      </w:r>
      <w:r w:rsidR="00285278" w:rsidRPr="00A77BD5">
        <w:rPr>
          <w:rFonts w:ascii="Times New Roman" w:hAnsi="Times New Roman"/>
        </w:rPr>
        <w:t xml:space="preserve">(known </w:t>
      </w:r>
      <w:r w:rsidR="006745E4" w:rsidRPr="00A77BD5">
        <w:rPr>
          <w:rFonts w:ascii="Times New Roman" w:hAnsi="Times New Roman"/>
        </w:rPr>
        <w:t xml:space="preserve">by the acronym </w:t>
      </w:r>
      <w:r w:rsidRPr="00A77BD5">
        <w:rPr>
          <w:rFonts w:ascii="Times New Roman" w:hAnsi="Times New Roman"/>
        </w:rPr>
        <w:t xml:space="preserve">CAF, for its original </w:t>
      </w:r>
      <w:r w:rsidR="006745E4" w:rsidRPr="00A77BD5">
        <w:rPr>
          <w:rFonts w:ascii="Times New Roman" w:hAnsi="Times New Roman"/>
        </w:rPr>
        <w:t xml:space="preserve">name </w:t>
      </w:r>
      <w:proofErr w:type="spellStart"/>
      <w:r w:rsidR="006745E4" w:rsidRPr="00CB2922">
        <w:rPr>
          <w:rFonts w:ascii="Times New Roman" w:eastAsia="Times New Roman" w:hAnsi="Times New Roman" w:cs="Arial"/>
          <w:shd w:val="clear" w:color="auto" w:fill="FFFFFF"/>
        </w:rPr>
        <w:t>Corporacion</w:t>
      </w:r>
      <w:proofErr w:type="spellEnd"/>
      <w:r w:rsidR="006745E4" w:rsidRPr="00CB2922">
        <w:rPr>
          <w:rFonts w:ascii="Times New Roman" w:eastAsia="Times New Roman" w:hAnsi="Times New Roman" w:cs="Arial"/>
          <w:shd w:val="clear" w:color="auto" w:fill="FFFFFF"/>
        </w:rPr>
        <w:t xml:space="preserve"> </w:t>
      </w:r>
      <w:proofErr w:type="spellStart"/>
      <w:r w:rsidR="006745E4" w:rsidRPr="00CB2922">
        <w:rPr>
          <w:rFonts w:ascii="Times New Roman" w:eastAsia="Times New Roman" w:hAnsi="Times New Roman" w:cs="Arial"/>
          <w:shd w:val="clear" w:color="auto" w:fill="FFFFFF"/>
        </w:rPr>
        <w:t>Andina</w:t>
      </w:r>
      <w:proofErr w:type="spellEnd"/>
      <w:r w:rsidR="006745E4" w:rsidRPr="00CB2922">
        <w:rPr>
          <w:rFonts w:ascii="Times New Roman" w:eastAsia="Times New Roman" w:hAnsi="Times New Roman" w:cs="Arial"/>
          <w:shd w:val="clear" w:color="auto" w:fill="FFFFFF"/>
        </w:rPr>
        <w:t xml:space="preserve"> de </w:t>
      </w:r>
      <w:proofErr w:type="spellStart"/>
      <w:r w:rsidR="006745E4" w:rsidRPr="00CB2922">
        <w:rPr>
          <w:rFonts w:ascii="Times New Roman" w:eastAsia="Times New Roman" w:hAnsi="Times New Roman" w:cs="Arial"/>
          <w:shd w:val="clear" w:color="auto" w:fill="FFFFFF"/>
        </w:rPr>
        <w:t>Foment</w:t>
      </w:r>
      <w:r w:rsidR="006745E4" w:rsidRPr="001F7826">
        <w:rPr>
          <w:rFonts w:ascii="Times New Roman" w:eastAsia="Times New Roman" w:hAnsi="Times New Roman" w:cs="Arial"/>
          <w:shd w:val="clear" w:color="auto" w:fill="FFFFFF"/>
        </w:rPr>
        <w:t>o</w:t>
      </w:r>
      <w:proofErr w:type="spellEnd"/>
      <w:r w:rsidR="004A7F65" w:rsidRPr="00A77BD5">
        <w:rPr>
          <w:rFonts w:ascii="Times New Roman" w:eastAsia="Times New Roman" w:hAnsi="Times New Roman" w:cs="Arial"/>
          <w:shd w:val="clear" w:color="auto" w:fill="FFFFFF"/>
        </w:rPr>
        <w:t>--</w:t>
      </w:r>
      <w:r w:rsidR="006745E4" w:rsidRPr="00A77BD5">
        <w:rPr>
          <w:rFonts w:ascii="Times New Roman" w:eastAsia="Times New Roman" w:hAnsi="Times New Roman" w:cs="Arial"/>
          <w:shd w:val="clear" w:color="auto" w:fill="FFFFFF"/>
        </w:rPr>
        <w:t>Andean Development Corporation)</w:t>
      </w:r>
      <w:r w:rsidRPr="00A77BD5">
        <w:rPr>
          <w:rFonts w:ascii="Times New Roman" w:hAnsi="Times New Roman"/>
        </w:rPr>
        <w:t xml:space="preserve">, the </w:t>
      </w:r>
      <w:proofErr w:type="spellStart"/>
      <w:r w:rsidR="00C22149" w:rsidRPr="00CB2922">
        <w:rPr>
          <w:rFonts w:ascii="Times New Roman" w:eastAsia="Times New Roman" w:hAnsi="Times New Roman" w:cs="Arial"/>
          <w:shd w:val="clear" w:color="auto" w:fill="FFFFFF"/>
        </w:rPr>
        <w:t>Banco</w:t>
      </w:r>
      <w:proofErr w:type="spellEnd"/>
      <w:r w:rsidR="00C22149" w:rsidRPr="00CB2922">
        <w:rPr>
          <w:rFonts w:ascii="Times New Roman" w:eastAsia="Times New Roman" w:hAnsi="Times New Roman" w:cs="Arial"/>
          <w:shd w:val="clear" w:color="auto" w:fill="FFFFFF"/>
        </w:rPr>
        <w:t xml:space="preserve"> </w:t>
      </w:r>
      <w:proofErr w:type="spellStart"/>
      <w:r w:rsidR="00C22149" w:rsidRPr="00CB2922">
        <w:rPr>
          <w:rFonts w:ascii="Times New Roman" w:eastAsia="Times New Roman" w:hAnsi="Times New Roman" w:cs="Arial"/>
          <w:shd w:val="clear" w:color="auto" w:fill="FFFFFF"/>
        </w:rPr>
        <w:t>Nacional</w:t>
      </w:r>
      <w:proofErr w:type="spellEnd"/>
      <w:r w:rsidR="00C22149" w:rsidRPr="00CB2922">
        <w:rPr>
          <w:rFonts w:ascii="Times New Roman" w:eastAsia="Times New Roman" w:hAnsi="Times New Roman" w:cs="Arial"/>
          <w:shd w:val="clear" w:color="auto" w:fill="FFFFFF"/>
        </w:rPr>
        <w:t xml:space="preserve"> de </w:t>
      </w:r>
      <w:proofErr w:type="spellStart"/>
      <w:r w:rsidR="00C22149" w:rsidRPr="00CB2922">
        <w:rPr>
          <w:rFonts w:ascii="Times New Roman" w:eastAsia="Times New Roman" w:hAnsi="Times New Roman" w:cs="Arial"/>
          <w:shd w:val="clear" w:color="auto" w:fill="FFFFFF"/>
        </w:rPr>
        <w:t>Desenvolvimento</w:t>
      </w:r>
      <w:proofErr w:type="spellEnd"/>
      <w:r w:rsidR="00C22149" w:rsidRPr="00CB2922">
        <w:rPr>
          <w:rFonts w:ascii="Times New Roman" w:eastAsia="Times New Roman" w:hAnsi="Times New Roman" w:cs="Arial"/>
          <w:shd w:val="clear" w:color="auto" w:fill="FFFFFF"/>
        </w:rPr>
        <w:t xml:space="preserve"> </w:t>
      </w:r>
      <w:proofErr w:type="spellStart"/>
      <w:r w:rsidR="00C22149" w:rsidRPr="00CB2922">
        <w:rPr>
          <w:rFonts w:ascii="Times New Roman" w:eastAsia="Times New Roman" w:hAnsi="Times New Roman" w:cs="Arial"/>
          <w:shd w:val="clear" w:color="auto" w:fill="FFFFFF"/>
        </w:rPr>
        <w:t>Econômico</w:t>
      </w:r>
      <w:proofErr w:type="spellEnd"/>
      <w:r w:rsidR="00C22149" w:rsidRPr="00CB2922">
        <w:rPr>
          <w:rFonts w:ascii="Times New Roman" w:eastAsia="Times New Roman" w:hAnsi="Times New Roman" w:cs="Arial"/>
          <w:shd w:val="clear" w:color="auto" w:fill="FFFFFF"/>
        </w:rPr>
        <w:t xml:space="preserve"> e Social</w:t>
      </w:r>
      <w:r w:rsidR="00333B18" w:rsidRPr="00A77BD5">
        <w:rPr>
          <w:rFonts w:ascii="Times New Roman" w:hAnsi="Times New Roman"/>
        </w:rPr>
        <w:t xml:space="preserve"> </w:t>
      </w:r>
      <w:r w:rsidR="00C22149" w:rsidRPr="00A77BD5">
        <w:rPr>
          <w:rFonts w:ascii="Times New Roman" w:hAnsi="Times New Roman"/>
        </w:rPr>
        <w:t>(BNDES)-</w:t>
      </w:r>
      <w:r w:rsidRPr="00A77BD5">
        <w:rPr>
          <w:rFonts w:ascii="Times New Roman" w:hAnsi="Times New Roman"/>
        </w:rPr>
        <w:t>Brazil National Bank of Economic and Social Development, and the China Development Bank (CDB).</w:t>
      </w:r>
      <w:r w:rsidR="00F668A7" w:rsidRPr="00A77BD5">
        <w:rPr>
          <w:rFonts w:ascii="Times New Roman" w:hAnsi="Times New Roman"/>
        </w:rPr>
        <w:t xml:space="preserve"> CAF could increase disbursements because it raised new paid-in capital from members in 2009 and 2015. </w:t>
      </w:r>
    </w:p>
    <w:p w14:paraId="4616A5B7" w14:textId="77EE2AFE"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These three institutions (along with Western multilateral development banks, MDBs) </w:t>
      </w:r>
      <w:r w:rsidR="001551B9" w:rsidRPr="00A77BD5">
        <w:rPr>
          <w:rFonts w:ascii="Times New Roman" w:hAnsi="Times New Roman"/>
        </w:rPr>
        <w:t>adopted</w:t>
      </w:r>
      <w:r w:rsidRPr="00A77BD5">
        <w:rPr>
          <w:rFonts w:ascii="Times New Roman" w:hAnsi="Times New Roman"/>
        </w:rPr>
        <w:t xml:space="preserve"> a pragmatic new </w:t>
      </w:r>
      <w:r w:rsidR="003E3730">
        <w:rPr>
          <w:rFonts w:ascii="Times New Roman" w:hAnsi="Times New Roman"/>
        </w:rPr>
        <w:t xml:space="preserve">role </w:t>
      </w:r>
      <w:r w:rsidRPr="00A77BD5">
        <w:rPr>
          <w:rFonts w:ascii="Times New Roman" w:hAnsi="Times New Roman"/>
        </w:rPr>
        <w:t>in response to the GFC. This involved increased disbursements of shorter-term loans and other forms of financing (e.g., trade credits) that had countercyclical effects. This new role broadened institutional identity. The provision of medium and long-term project finance when private finance disappeared also played a stabilizing role. In 2015, the CAF increased its countercyclical activity through what it called fast disbursing and contingent operations of US$2.4 billion. The CAF also expanded its capacity by introducing two new financial products to support infrastructure finance</w:t>
      </w:r>
      <w:r w:rsidR="009412C9" w:rsidRPr="00A77BD5">
        <w:rPr>
          <w:rFonts w:ascii="Times New Roman" w:hAnsi="Times New Roman"/>
        </w:rPr>
        <w:t>.</w:t>
      </w:r>
      <w:r w:rsidRPr="00A77BD5">
        <w:rPr>
          <w:rFonts w:ascii="Times New Roman" w:hAnsi="Times New Roman"/>
        </w:rPr>
        <w:t xml:space="preserve"> </w:t>
      </w:r>
    </w:p>
    <w:p w14:paraId="6DE03F1C" w14:textId="44924019" w:rsidR="00E8035C"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color w:val="000000"/>
        </w:rPr>
        <w:t xml:space="preserve">Under Brazil’s former President Lula </w:t>
      </w:r>
      <w:r w:rsidRPr="00A77BD5">
        <w:rPr>
          <w:rFonts w:ascii="Times New Roman" w:hAnsi="Times New Roman"/>
        </w:rPr>
        <w:t>da Silva</w:t>
      </w:r>
      <w:r w:rsidRPr="00A77BD5">
        <w:rPr>
          <w:rFonts w:ascii="Times New Roman" w:hAnsi="Times New Roman"/>
          <w:color w:val="000000"/>
        </w:rPr>
        <w:t xml:space="preserve">, </w:t>
      </w:r>
      <w:r w:rsidRPr="00A77BD5">
        <w:rPr>
          <w:rFonts w:ascii="Times New Roman" w:hAnsi="Times New Roman"/>
        </w:rPr>
        <w:t xml:space="preserve">BNDES </w:t>
      </w:r>
      <w:r w:rsidRPr="00A77BD5">
        <w:rPr>
          <w:rFonts w:ascii="Times New Roman" w:hAnsi="Times New Roman"/>
          <w:color w:val="000000"/>
        </w:rPr>
        <w:t xml:space="preserve">began to provide countercyclical finance. BNDES’ countercyclical role became more important during the GFC. BNDES increased disbursements, coordinated actions with private banks to support distressed firms, and took other measures to channel liquidity to small and medium-sized banks that were under stress </w:t>
      </w:r>
      <w:r w:rsidR="00891F56">
        <w:rPr>
          <w:rFonts w:ascii="Times New Roman" w:hAnsi="Times New Roman"/>
        </w:rPr>
        <w:fldChar w:fldCharType="begin"/>
      </w:r>
      <w:r w:rsidR="00891F56">
        <w:rPr>
          <w:rFonts w:ascii="Times New Roman" w:hAnsi="Times New Roman"/>
        </w:rPr>
        <w:instrText xml:space="preserve"> ADDIN EN.CITE &lt;EndNote&gt;&lt;Cite&gt;&lt;Author&gt;Armijo&lt;/Author&gt;&lt;Year&gt;2017&lt;/Year&gt;&lt;RecNum&gt;1753&lt;/RecNum&gt;&lt;DisplayText&gt;(Armijo 2017)&lt;/DisplayText&gt;&lt;record&gt;&lt;rec-number&gt;1753&lt;/rec-number&gt;&lt;foreign-keys&gt;&lt;key app="EN" db-id="x2xf5e95kefpz8e59fcx5psgerr9wepetvet" timestamp="1475683709"&gt;1753&lt;/key&gt;&lt;/foreign-keys&gt;&lt;ref-type name="Book Section"&gt;5&lt;/ref-type&gt;&lt;contributors&gt;&lt;authors&gt;&lt;author&gt;Armijo, Leslie Elliott&lt;/author&gt;&lt;/authors&gt;&lt;secondary-authors&gt;&lt;author&gt;Kingstone, Peter&lt;/author&gt;&lt;author&gt;Power, Timothy&lt;/author&gt;&lt;/secondary-authors&gt;&lt;/contributors&gt;&lt;titles&gt;&lt;title&gt;The Public Bank Trilemma: Brazil’s New Developmentalism and the BNDES &lt;/title&gt;&lt;secondary-title&gt;Democratic Brazil Ascendant &lt;/secondary-title&gt;&lt;/titles&gt;&lt;pages&gt;230-247&lt;/pages&gt;&lt;dates&gt;&lt;year&gt;2017&lt;/year&gt;&lt;/dates&gt;&lt;pub-location&gt;Pittsburgh&lt;/pub-location&gt;&lt;publisher&gt;University of Pittsburgh Press&lt;/publisher&gt;&lt;urls&gt;&lt;/urls&gt;&lt;/record&gt;&lt;/Cite&gt;&lt;/EndNote&gt;</w:instrText>
      </w:r>
      <w:r w:rsidR="00891F56">
        <w:rPr>
          <w:rFonts w:ascii="Times New Roman" w:hAnsi="Times New Roman"/>
        </w:rPr>
        <w:fldChar w:fldCharType="separate"/>
      </w:r>
      <w:r w:rsidR="00891F56">
        <w:rPr>
          <w:rFonts w:ascii="Times New Roman" w:hAnsi="Times New Roman"/>
          <w:noProof/>
        </w:rPr>
        <w:t>(Armijo 2017)</w:t>
      </w:r>
      <w:r w:rsidR="00891F56">
        <w:rPr>
          <w:rFonts w:ascii="Times New Roman" w:hAnsi="Times New Roman"/>
        </w:rPr>
        <w:fldChar w:fldCharType="end"/>
      </w:r>
      <w:r w:rsidRPr="00A77BD5">
        <w:rPr>
          <w:rFonts w:ascii="Times New Roman" w:hAnsi="Times New Roman"/>
        </w:rPr>
        <w:t xml:space="preserve">. </w:t>
      </w:r>
    </w:p>
    <w:p w14:paraId="4EE20903" w14:textId="1E14432C" w:rsidR="00E8035C" w:rsidRPr="00A77BD5" w:rsidRDefault="00E8035C" w:rsidP="004F7552">
      <w:pPr>
        <w:widowControl w:val="0"/>
        <w:spacing w:line="360" w:lineRule="auto"/>
        <w:ind w:firstLine="720"/>
        <w:rPr>
          <w:rFonts w:ascii="Times New Roman" w:hAnsi="Times New Roman"/>
        </w:rPr>
      </w:pPr>
      <w:r w:rsidRPr="00A77BD5">
        <w:rPr>
          <w:rFonts w:ascii="Times New Roman" w:hAnsi="Times New Roman"/>
        </w:rPr>
        <w:t xml:space="preserve">The CDB undertook strongly countercyclical initiatives during the crisis by lending actively in the domestic market and providing support for the country’s export performance. As signs of an economic slowdown and financial fragility became apparent in 2015 the CDB responded with new countercyclical support that supplemented other government measures. During the crisis China launched a variety of bilateral financial initiatives in EMDEs through its policy banks, especially the CDB, but also the Export-Import Bank (XMB) </w:t>
      </w:r>
      <w:r w:rsidR="00891F56">
        <w:rPr>
          <w:rFonts w:ascii="Times New Roman" w:hAnsi="Times New Roman"/>
        </w:rPr>
        <w:fldChar w:fldCharType="begin"/>
      </w:r>
      <w:r w:rsidR="00891F56">
        <w:rPr>
          <w:rFonts w:ascii="Times New Roman" w:hAnsi="Times New Roman"/>
        </w:rPr>
        <w:instrText xml:space="preserve"> ADDIN EN.CITE &lt;EndNote&gt;&lt;Cite&gt;&lt;Author&gt;Chin&lt;/Author&gt;&lt;Year&gt;2018&lt;/Year&gt;&lt;RecNum&gt;1964&lt;/RecNum&gt;&lt;DisplayText&gt;(Chin and Gallagher 2018)&lt;/DisplayText&gt;&lt;record&gt;&lt;rec-number&gt;1964&lt;/rec-number&gt;&lt;foreign-keys&gt;&lt;key app="EN" db-id="x2xf5e95kefpz8e59fcx5psgerr9wepetvet" timestamp="1532982830"&gt;1964&lt;/key&gt;&lt;/foreign-keys&gt;&lt;ref-type name="Report"&gt;27&lt;/ref-type&gt;&lt;contributors&gt;&lt;authors&gt;&lt;author&gt;Chin, Gregory&lt;/author&gt;&lt;author&gt;Gallagher, Kevin&lt;/author&gt;&lt;/authors&gt;&lt;/contributors&gt;&lt;titles&gt;&lt;title&gt;&lt;style face="normal" font="default" size="100%"&gt;Coordinated Credit Spaces: The Globalization of Chinese Development Finance,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(Chin and Gallagher 2018)</w:t>
      </w:r>
      <w:r w:rsidR="00891F56">
        <w:rPr>
          <w:rFonts w:ascii="Times New Roman" w:hAnsi="Times New Roman"/>
        </w:rPr>
        <w:fldChar w:fldCharType="end"/>
      </w:r>
      <w:r w:rsidRPr="00A77BD5">
        <w:rPr>
          <w:rFonts w:ascii="Times New Roman" w:hAnsi="Times New Roman"/>
        </w:rPr>
        <w:t>. The CDB and XMB together have lent more to EMDEs t</w:t>
      </w:r>
      <w:r w:rsidR="00AC7AC3" w:rsidRPr="00A77BD5">
        <w:rPr>
          <w:rFonts w:ascii="Times New Roman" w:hAnsi="Times New Roman"/>
        </w:rPr>
        <w:t>han the Western MDBs combined (</w:t>
      </w:r>
      <w:r w:rsidRPr="00A77BD5">
        <w:rPr>
          <w:rFonts w:ascii="Times New Roman" w:hAnsi="Times New Roman"/>
        </w:rPr>
        <w:t>ibid</w:t>
      </w:r>
      <w:r w:rsidR="00AC7AC3" w:rsidRPr="00A77BD5">
        <w:rPr>
          <w:rFonts w:ascii="Times New Roman" w:hAnsi="Times New Roman"/>
        </w:rPr>
        <w:t>.)</w:t>
      </w:r>
      <w:r w:rsidRPr="00A77BD5">
        <w:rPr>
          <w:rFonts w:ascii="Times New Roman" w:hAnsi="Times New Roman"/>
        </w:rPr>
        <w:t xml:space="preserve">. Many of these loans support infrastructure </w:t>
      </w:r>
      <w:r w:rsidR="000A045A" w:rsidRPr="00A77BD5">
        <w:rPr>
          <w:rFonts w:ascii="Times New Roman" w:hAnsi="Times New Roman"/>
        </w:rPr>
        <w:t xml:space="preserve">and energy </w:t>
      </w:r>
      <w:r w:rsidRPr="00A77BD5">
        <w:rPr>
          <w:rFonts w:ascii="Times New Roman" w:hAnsi="Times New Roman"/>
        </w:rPr>
        <w:t xml:space="preserve">development in EMDEs and </w:t>
      </w:r>
      <w:r w:rsidR="000A045A" w:rsidRPr="00A77BD5">
        <w:rPr>
          <w:rFonts w:ascii="Times New Roman" w:hAnsi="Times New Roman"/>
        </w:rPr>
        <w:t>China’s access to raw materials.</w:t>
      </w:r>
    </w:p>
    <w:p w14:paraId="50808B09" w14:textId="388CB769" w:rsidR="00E8035C"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rPr>
        <w:t xml:space="preserve">The CAF, BNDES, and CDB also increased linkages with other EMDE and Western MDBs (e.g., through cooperative agreements and co-financing). This parallels developments in EMDE liquidity support. The CAF signed cooperative agreements with the Green Climate Fund and the Global Environment Facility, reflecting an increasing emphasis on sustainable financing. BNDES began to cooperate with Western MDBs and national development banks in the BRICS countries. The CDB partnered with other Chinese-led initiatives, such as the Asian Infrastructure Investment Bank (AIIB) and via other partnerships that support the Belt and Road Initiative. </w:t>
      </w:r>
    </w:p>
    <w:p w14:paraId="1A6F32AC" w14:textId="464BC473" w:rsidR="00E8035C"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rPr>
        <w:t xml:space="preserve">The CAF is becoming increasingly important as a source of capital, though its size makes it complementary to Western MDBs </w:t>
      </w:r>
      <w:r w:rsidR="00891F56">
        <w:rPr>
          <w:rFonts w:ascii="Times New Roman" w:hAnsi="Times New Roman"/>
        </w:rPr>
        <w:fldChar w:fldCharType="begin"/>
      </w:r>
      <w:r w:rsidR="00891F56">
        <w:rPr>
          <w:rFonts w:ascii="Times New Roman" w:hAnsi="Times New Roman"/>
        </w:rPr>
        <w:instrText xml:space="preserve"> ADDIN EN.CITE &lt;EndNote&gt;&lt;Cite&gt;&lt;Author&gt;Ray&lt;/Author&gt;&lt;Year&gt;2018&lt;/Year&gt;&lt;RecNum&gt;1968&lt;/RecNum&gt;&lt;Pages&gt;this symposium&lt;/Pages&gt;&lt;DisplayText&gt;(Ray and Kamal 2018, this symposium)&lt;/DisplayText&gt;&lt;record&gt;&lt;rec-number&gt;1968&lt;/rec-number&gt;&lt;foreign-keys&gt;&lt;key app="EN" db-id="x2xf5e95kefpz8e59fcx5psgerr9wepetvet" timestamp="1532983253"&gt;1968&lt;/key&gt;&lt;/foreign-keys&gt;&lt;ref-type name="Report"&gt;27&lt;/ref-type&gt;&lt;contributors&gt;&lt;authors&gt;&lt;author&gt;Ray, Rebecca&lt;/author&gt;&lt;author&gt;Kamal, Rohini&lt;/author&gt;&lt;/authors&gt;&lt;/contributors&gt;&lt;titles&gt;&lt;title&gt;&lt;style face="normal" font="default" size="100%"&gt;Can South-South Cooperation Compete? An Analysis of Borrower Representation and Financial Performance of the Development Bank of Latin American and the Islamic Development Bank,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(Ray and Kamal 2018, this symposium)</w:t>
      </w:r>
      <w:r w:rsidR="00891F56">
        <w:rPr>
          <w:rFonts w:ascii="Times New Roman" w:hAnsi="Times New Roman"/>
        </w:rPr>
        <w:fldChar w:fldCharType="end"/>
      </w:r>
      <w:r w:rsidRPr="00A77BD5">
        <w:rPr>
          <w:rFonts w:ascii="Times New Roman" w:hAnsi="Times New Roman"/>
        </w:rPr>
        <w:t xml:space="preserve">. CAF issues a large percentage of its bonds in local currencies, which reduces currency risk for borrowers and breaks with the norms of the Western MDBs. The CDB and XMB lend in dollars and RMB, and there are plans to lend in local currencies </w:t>
      </w:r>
      <w:r w:rsidR="00891F56">
        <w:rPr>
          <w:rFonts w:ascii="Times New Roman" w:hAnsi="Times New Roman"/>
        </w:rPr>
        <w:fldChar w:fldCharType="begin"/>
      </w:r>
      <w:r w:rsidR="00891F56">
        <w:rPr>
          <w:rFonts w:ascii="Times New Roman" w:hAnsi="Times New Roman"/>
        </w:rPr>
        <w:instrText xml:space="preserve"> ADDIN EN.CITE &lt;EndNote&gt;&lt;Cite&gt;&lt;Author&gt;Chin&lt;/Author&gt;&lt;Year&gt;2018&lt;/Year&gt;&lt;RecNum&gt;1964&lt;/RecNum&gt;&lt;DisplayText&gt;(Chin and Gallagher 2018)&lt;/DisplayText&gt;&lt;record&gt;&lt;rec-number&gt;1964&lt;/rec-number&gt;&lt;foreign-keys&gt;&lt;key app="EN" db-id="x2xf5e95kefpz8e59fcx5psgerr9wepetvet" timestamp="1532982830"&gt;1964&lt;/key&gt;&lt;/foreign-keys&gt;&lt;ref-type name="Report"&gt;27&lt;/ref-type&gt;&lt;contributors&gt;&lt;authors&gt;&lt;author&gt;Chin, Gregory&lt;/author&gt;&lt;author&gt;Gallagher, Kevin&lt;/author&gt;&lt;/authors&gt;&lt;/contributors&gt;&lt;titles&gt;&lt;title&gt;&lt;style face="normal" font="default" size="100%"&gt;Coordinated Credit Spaces: The Globalization of Chinese Development Finance,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(Chin and Gallagher 2018)</w:t>
      </w:r>
      <w:r w:rsidR="00891F56">
        <w:rPr>
          <w:rFonts w:ascii="Times New Roman" w:hAnsi="Times New Roman"/>
        </w:rPr>
        <w:fldChar w:fldCharType="end"/>
      </w:r>
      <w:r w:rsidR="00A206F7" w:rsidRPr="00A77BD5">
        <w:rPr>
          <w:rFonts w:ascii="Times New Roman" w:hAnsi="Times New Roman"/>
        </w:rPr>
        <w:t xml:space="preserve">. </w:t>
      </w:r>
      <w:r w:rsidRPr="00A77BD5">
        <w:rPr>
          <w:rFonts w:ascii="Times New Roman" w:hAnsi="Times New Roman"/>
        </w:rPr>
        <w:t xml:space="preserve">The future of BNDES is uncertain, though not promising, owing to the economic slowdown, scandals that have undermined support for BNDES, and the current government’s </w:t>
      </w:r>
      <w:r w:rsidR="00650696" w:rsidRPr="00A77BD5">
        <w:rPr>
          <w:rFonts w:ascii="Times New Roman" w:hAnsi="Times New Roman"/>
        </w:rPr>
        <w:t>tilt toward the market</w:t>
      </w:r>
      <w:r w:rsidRPr="00A77BD5">
        <w:rPr>
          <w:rFonts w:ascii="Times New Roman" w:hAnsi="Times New Roman"/>
        </w:rPr>
        <w:t xml:space="preserve">. </w:t>
      </w:r>
    </w:p>
    <w:p w14:paraId="36F7ADED" w14:textId="77777777" w:rsidR="00E8035C" w:rsidRPr="00A77BD5" w:rsidRDefault="00E8035C" w:rsidP="004F7552">
      <w:pPr>
        <w:spacing w:line="360" w:lineRule="auto"/>
        <w:rPr>
          <w:rFonts w:ascii="Times New Roman" w:hAnsi="Times New Roman"/>
          <w:i/>
        </w:rPr>
      </w:pPr>
      <w:r w:rsidRPr="00A77BD5">
        <w:rPr>
          <w:rFonts w:ascii="Times New Roman" w:hAnsi="Times New Roman"/>
          <w:i/>
        </w:rPr>
        <w:t>Banks Created During the GFC</w:t>
      </w:r>
    </w:p>
    <w:p w14:paraId="3F6FEA7B" w14:textId="5ED9F275" w:rsidR="00E8035C" w:rsidRPr="00A77BD5" w:rsidRDefault="00E8035C" w:rsidP="004F7552">
      <w:pPr>
        <w:spacing w:line="360" w:lineRule="auto"/>
        <w:rPr>
          <w:rFonts w:ascii="Times New Roman" w:hAnsi="Times New Roman"/>
        </w:rPr>
      </w:pPr>
      <w:r w:rsidRPr="00A77BD5">
        <w:rPr>
          <w:rFonts w:ascii="Times New Roman" w:hAnsi="Times New Roman"/>
        </w:rPr>
        <w:t xml:space="preserve">China was central in the launch of the </w:t>
      </w:r>
      <w:r w:rsidR="00F82D3C" w:rsidRPr="00A77BD5">
        <w:rPr>
          <w:rFonts w:ascii="Times New Roman" w:hAnsi="Times New Roman"/>
        </w:rPr>
        <w:t xml:space="preserve">NDB </w:t>
      </w:r>
      <w:r w:rsidRPr="00A77BD5">
        <w:rPr>
          <w:rFonts w:ascii="Times New Roman" w:hAnsi="Times New Roman"/>
        </w:rPr>
        <w:t xml:space="preserve">and is the driver of the </w:t>
      </w:r>
      <w:r w:rsidR="001A55E6" w:rsidRPr="00A77BD5">
        <w:rPr>
          <w:rFonts w:ascii="Times New Roman" w:hAnsi="Times New Roman"/>
        </w:rPr>
        <w:t>AIIB</w:t>
      </w:r>
      <w:r w:rsidR="00F82D3C" w:rsidRPr="00A77BD5">
        <w:rPr>
          <w:rFonts w:ascii="Times New Roman" w:hAnsi="Times New Roman"/>
        </w:rPr>
        <w:t xml:space="preserve">. </w:t>
      </w:r>
      <w:r w:rsidRPr="00A77BD5">
        <w:rPr>
          <w:rFonts w:ascii="Times New Roman" w:hAnsi="Times New Roman"/>
        </w:rPr>
        <w:t xml:space="preserve"> The NDB finances investment in infrastructure and sustainable development in the BRICS with an eye toward allowing other EMDEs to buy in and apply for funding in the future. The NDB approved its first loans in 2016. Loans have supported small-scale renewable energy and transportation-related projects and have been made in dollars and ‘green’ RMB-denominated bonds issued in the Chinese market. The institution received approval from member governments to develop local currency bond offerings in the Indian, Rus</w:t>
      </w:r>
      <w:r w:rsidR="001A55E6" w:rsidRPr="00A77BD5">
        <w:rPr>
          <w:rFonts w:ascii="Times New Roman" w:hAnsi="Times New Roman"/>
        </w:rPr>
        <w:t>sian, and South African markets</w:t>
      </w:r>
      <w:r w:rsidRPr="00A77BD5">
        <w:rPr>
          <w:rFonts w:ascii="Times New Roman" w:hAnsi="Times New Roman"/>
        </w:rPr>
        <w:t xml:space="preserve">, though these have not yet been issued. The NDB’s loan portfolio capacity is projected to reach about US$45-65 billion by 2025 </w:t>
      </w:r>
      <w:r w:rsidR="00891F56">
        <w:rPr>
          <w:rFonts w:ascii="Times New Roman" w:hAnsi="Times New Roman"/>
        </w:rPr>
        <w:fldChar w:fldCharType="begin"/>
      </w:r>
      <w:r w:rsidR="00891F56">
        <w:rPr>
          <w:rFonts w:ascii="Times New Roman" w:hAnsi="Times New Roman"/>
        </w:rPr>
        <w:instrText xml:space="preserve"> ADDIN EN.CITE &lt;EndNote&gt;&lt;Cite&gt;&lt;Author&gt;Humphrey&lt;/Author&gt;&lt;Year&gt;2015&lt;/Year&gt;&lt;RecNum&gt;1735&lt;/RecNum&gt;&lt;DisplayText&gt;(Humphrey 2015)&lt;/DisplayText&gt;&lt;record&gt;&lt;rec-number&gt;1735&lt;/rec-number&gt;&lt;foreign-keys&gt;&lt;key app="EN" db-id="x2xf5e95kefpz8e59fcx5psgerr9wepetvet" timestamp="1475601873"&gt;1735&lt;/key&gt;&lt;/foreign-keys&gt;&lt;ref-type name="Report"&gt;27&lt;/ref-type&gt;&lt;contributors&gt;&lt;authors&gt;&lt;author&gt;Humphrey, Chris&lt;/author&gt;&lt;/authors&gt;&lt;/contributors&gt;&lt;titles&gt;&lt;title&gt;Development Revolution or Bretton Woods Revisited? ODI Working Paper No. 418, London: Overseas Development Institute, April. https://www.odi.org/sites/odi.org.uk/files/odi-assets/publications-opinion-files/9615.pdf&lt;/title&gt;&lt;/titles&gt;&lt;dates&gt;&lt;year&gt;2015&lt;/year&gt;&lt;/dates&gt;&lt;urls&gt;&lt;/urls&gt;&lt;/record&gt;&lt;/Cite&gt;&lt;/EndNote&gt;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(Humphrey 2015)</w:t>
      </w:r>
      <w:r w:rsidR="00891F56">
        <w:rPr>
          <w:rFonts w:ascii="Times New Roman" w:hAnsi="Times New Roman"/>
        </w:rPr>
        <w:fldChar w:fldCharType="end"/>
      </w:r>
      <w:r w:rsidRPr="00A77BD5">
        <w:rPr>
          <w:rFonts w:ascii="Times New Roman" w:hAnsi="Times New Roman"/>
        </w:rPr>
        <w:t>. Some analysts suggest that NDB loans could dwarf those of the World Bank in the next several decades, especially if membership is broadened and the institution co-finances loans with governments and private investors.</w:t>
      </w:r>
      <w:r w:rsidRPr="00A77BD5">
        <w:rPr>
          <w:rStyle w:val="FootnoteReference"/>
          <w:rFonts w:ascii="Times New Roman" w:hAnsi="Times New Roman"/>
        </w:rPr>
        <w:footnoteReference w:id="9"/>
      </w:r>
      <w:r w:rsidRPr="00A77BD5">
        <w:rPr>
          <w:rFonts w:ascii="Times New Roman" w:hAnsi="Times New Roman"/>
        </w:rPr>
        <w:t xml:space="preserve"> </w:t>
      </w:r>
    </w:p>
    <w:p w14:paraId="43834A5F" w14:textId="2C3A41A0" w:rsidR="00E8035C" w:rsidRPr="00A77BD5" w:rsidRDefault="00E8035C" w:rsidP="004F7552">
      <w:pPr>
        <w:spacing w:line="360" w:lineRule="auto"/>
        <w:ind w:firstLine="720"/>
        <w:rPr>
          <w:rFonts w:ascii="Times New Roman" w:hAnsi="Times New Roman"/>
        </w:rPr>
      </w:pPr>
      <w:r w:rsidRPr="00A77BD5">
        <w:rPr>
          <w:rFonts w:ascii="Times New Roman" w:hAnsi="Times New Roman"/>
        </w:rPr>
        <w:t xml:space="preserve">Simultaneous with its involvement in BRICS initiatives the Chinese government launched the AIIB </w:t>
      </w:r>
      <w:r w:rsidR="003E3730">
        <w:rPr>
          <w:rFonts w:ascii="Times New Roman" w:hAnsi="Times New Roman"/>
        </w:rPr>
        <w:t>in 2016, the equally ambitious Belt and Road</w:t>
      </w:r>
      <w:r w:rsidRPr="00A77BD5">
        <w:rPr>
          <w:rFonts w:ascii="Times New Roman" w:hAnsi="Times New Roman"/>
        </w:rPr>
        <w:t xml:space="preserve"> initiative, and at least 13 regional or bilateral funds that will radically increase Chinese development, energy, and infrastructure finance abroad </w:t>
      </w:r>
      <w:r w:rsidR="00891F56">
        <w:rPr>
          <w:rFonts w:ascii="Times New Roman" w:hAnsi="Times New Roman"/>
        </w:rPr>
        <w:fldChar w:fldCharType="begin"/>
      </w:r>
      <w:r w:rsidR="00891F56">
        <w:rPr>
          <w:rFonts w:ascii="Times New Roman" w:hAnsi="Times New Roman"/>
        </w:rPr>
        <w:instrText xml:space="preserve"> ADDIN EN.CITE &lt;EndNote&gt;&lt;Cite&gt;&lt;Author&gt;Gallagher&lt;/Author&gt;&lt;Year&gt;2016&lt;/Year&gt;&lt;RecNum&gt;1741&lt;/RecNum&gt;&lt;Pages&gt;1&lt;/Pages&gt;&lt;DisplayText&gt;(Gallagher, Kamal, and Wang 2016, 1)&lt;/DisplayText&gt;&lt;record&gt;&lt;rec-number&gt;1741&lt;/rec-number&gt;&lt;foreign-keys&gt;&lt;key app="EN" db-id="x2xf5e95kefpz8e59fcx5psgerr9wepetvet" timestamp="1475615062"&gt;1741&lt;/key&gt;&lt;/foreign-keys&gt;&lt;ref-type name="Report"&gt;27&lt;/ref-type&gt;&lt;contributors&gt;&lt;authors&gt;&lt;author&gt;Gallagher, Kevin P.&lt;/author&gt;&lt;author&gt;Kamal, Rohini&lt;/author&gt;&lt;author&gt;Wang, Yongzhong&lt;/author&gt;&lt;/authors&gt;&lt;/contributors&gt;&lt;titles&gt;&lt;title&gt;Fueling Growth and Financing Risk: The Benefits and Risks of China&amp;apos;s Development Finance in the Global Energy Sector. Global Economic Governance Initiative Working Paper No. 2, Boston: Boston University, Frederick S. Pardee School of Global Studies, May. https://www.bu.edu/pardeeschool/files/2016/05/Fueling-Growth.FINAL_.version.pdf &lt;/title&gt;&lt;/titles&gt;&lt;dates&gt;&lt;year&gt;2016&lt;/year&gt;&lt;/dates&gt;&lt;urls&gt;&lt;/urls&gt;&lt;/record&gt;&lt;/Cite&gt;&lt;/EndNote&gt;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(Gallagher, Kamal, and Wang 2016, 1)</w:t>
      </w:r>
      <w:r w:rsidR="00891F56">
        <w:rPr>
          <w:rFonts w:ascii="Times New Roman" w:hAnsi="Times New Roman"/>
        </w:rPr>
        <w:fldChar w:fldCharType="end"/>
      </w:r>
      <w:r w:rsidRPr="00A77BD5">
        <w:rPr>
          <w:rFonts w:ascii="Times New Roman" w:hAnsi="Times New Roman"/>
        </w:rPr>
        <w:t xml:space="preserve">. The AIIB represents the largest of China’s contributions to the evolving institutional landscape. Chinese </w:t>
      </w:r>
      <w:r w:rsidR="00564AE9" w:rsidRPr="00A77BD5">
        <w:rPr>
          <w:rFonts w:ascii="Times New Roman" w:hAnsi="Times New Roman"/>
        </w:rPr>
        <w:t xml:space="preserve">and BWI </w:t>
      </w:r>
      <w:r w:rsidRPr="00A77BD5">
        <w:rPr>
          <w:rFonts w:ascii="Times New Roman" w:hAnsi="Times New Roman"/>
        </w:rPr>
        <w:t>officials</w:t>
      </w:r>
      <w:r w:rsidR="00564AE9" w:rsidRPr="00A77BD5">
        <w:rPr>
          <w:rFonts w:ascii="Times New Roman" w:hAnsi="Times New Roman"/>
        </w:rPr>
        <w:t xml:space="preserve"> </w:t>
      </w:r>
      <w:r w:rsidRPr="00A77BD5">
        <w:rPr>
          <w:rFonts w:ascii="Times New Roman" w:hAnsi="Times New Roman"/>
        </w:rPr>
        <w:t xml:space="preserve">have made it clear that they see the AIIB as complementary to the Western MDBs. The decision by the US and Japan not to join suggests that they see it differently. </w:t>
      </w:r>
    </w:p>
    <w:p w14:paraId="1D9B129D" w14:textId="5F9188B4" w:rsidR="00BE4618" w:rsidRPr="00A77BD5" w:rsidRDefault="00E8035C" w:rsidP="004F7552">
      <w:pPr>
        <w:pStyle w:val="FootnoteText"/>
        <w:spacing w:line="360" w:lineRule="auto"/>
        <w:ind w:firstLine="720"/>
        <w:rPr>
          <w:rFonts w:ascii="Times New Roman" w:hAnsi="Times New Roman"/>
        </w:rPr>
      </w:pPr>
      <w:r w:rsidRPr="00A77BD5">
        <w:rPr>
          <w:rFonts w:ascii="Times New Roman" w:hAnsi="Times New Roman"/>
        </w:rPr>
        <w:t xml:space="preserve">Taken together, China’s multiplicity of national, bilateral, and transnational initiatives increase incoherence and redundancy in the GFA. This is because China-led institutions use diverse operating models: the XMB, CDB, and NDB break in important ways with the norms of the BWIs and Western MDBs, whereas the AIIB hews more closely to the BWIs playbook </w:t>
      </w:r>
      <w:r w:rsidR="00891F56">
        <w:rPr>
          <w:rFonts w:ascii="Times New Roman" w:hAnsi="Times New Roman"/>
        </w:rPr>
        <w:fldChar w:fldCharType="begin"/>
      </w:r>
      <w:r w:rsidR="00891F56">
        <w:rPr>
          <w:rFonts w:ascii="Times New Roman" w:hAnsi="Times New Roman"/>
        </w:rPr>
        <w:instrText xml:space="preserve"> ADDIN EN.CITE &lt;EndNote&gt;&lt;Cite&gt;&lt;Author&gt;Wang&lt;/Author&gt;&lt;Year&gt;2018&lt;/Year&gt;&lt;RecNum&gt;1966&lt;/RecNum&gt;&lt;DisplayText&gt;(Wang 2018, Chin and Gallagher 2018)&lt;/DisplayText&gt;&lt;record&gt;&lt;rec-number&gt;1966&lt;/rec-number&gt;&lt;foreign-keys&gt;&lt;key app="EN" db-id="x2xf5e95kefpz8e59fcx5psgerr9wepetvet" timestamp="1532983000"&gt;1966&lt;/key&gt;&lt;/foreign-keys&gt;&lt;ref-type name="Report"&gt;27&lt;/ref-type&gt;&lt;contributors&gt;&lt;authors&gt;&lt;author&gt;Wang, Hongying&lt;/author&gt;&lt;/authors&gt;&lt;/contributors&gt;&lt;titles&gt;&lt;title&gt;&lt;style face="normal" font="default" size="100%"&gt;The NDB and the AIIB: China&amp;apos;s Ambiguous Approach to Global Financial Governance, submitted for consideration in special issue of &lt;/style&gt;&lt;style face="italic" font="default" size="100%"&gt;Development and Change&lt;/style&gt;&lt;/title&gt;&lt;/titles&gt;&lt;dates&gt;&lt;year&gt;2018&lt;/year&gt;&lt;/dates&gt;&lt;urls&gt;&lt;/urls&gt;&lt;/record&gt;&lt;/Cite&gt;&lt;Cite&gt;&lt;Author&gt;Chin&lt;/Author&gt;&lt;Year&gt;2018&lt;/Year&gt;&lt;RecNum&gt;1964&lt;/RecNum&gt;&lt;record&gt;&lt;rec-number&gt;1964&lt;/rec-number&gt;&lt;foreign-keys&gt;&lt;key app="EN" db-id="x2xf5e95kefpz8e59fcx5psgerr9wepetvet" timestamp="1532982830"&gt;1964&lt;/key&gt;&lt;/foreign-keys&gt;&lt;ref-type name="Report"&gt;27&lt;/ref-type&gt;&lt;contributors&gt;&lt;authors&gt;&lt;author&gt;Chin, Gregory&lt;/author&gt;&lt;author&gt;Gallagher, Kevin&lt;/author&gt;&lt;/authors&gt;&lt;/contributors&gt;&lt;titles&gt;&lt;title&gt;&lt;style face="normal" font="default" size="100%"&gt;Coordinated Credit Spaces: The Globalization of Chinese Development Finance,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(Wang 2018, Chin and Gallagher 2018)</w:t>
      </w:r>
      <w:r w:rsidR="00891F56">
        <w:rPr>
          <w:rFonts w:ascii="Times New Roman" w:hAnsi="Times New Roman"/>
        </w:rPr>
        <w:fldChar w:fldCharType="end"/>
      </w:r>
      <w:r w:rsidRPr="00A77BD5">
        <w:rPr>
          <w:rFonts w:ascii="Times New Roman" w:hAnsi="Times New Roman"/>
        </w:rPr>
        <w:t>. The array of China-led institutions is complementing, competing, and above all complicating the traditional B</w:t>
      </w:r>
      <w:r w:rsidR="00995B24">
        <w:rPr>
          <w:rFonts w:ascii="Times New Roman" w:hAnsi="Times New Roman"/>
        </w:rPr>
        <w:t xml:space="preserve">retton </w:t>
      </w:r>
      <w:r w:rsidRPr="00A77BD5">
        <w:rPr>
          <w:rFonts w:ascii="Times New Roman" w:hAnsi="Times New Roman"/>
        </w:rPr>
        <w:t>W</w:t>
      </w:r>
      <w:r w:rsidR="00995B24">
        <w:rPr>
          <w:rFonts w:ascii="Times New Roman" w:hAnsi="Times New Roman"/>
        </w:rPr>
        <w:t>ood</w:t>
      </w:r>
      <w:r w:rsidRPr="00A77BD5">
        <w:rPr>
          <w:rFonts w:ascii="Times New Roman" w:hAnsi="Times New Roman"/>
        </w:rPr>
        <w:t xml:space="preserve">s landscape, where the line between AE lending and EMDE borrowing used to be clearly drawn. By all indicators China is ‘poised to be the largest development [and infrastructure] lender in the world’ </w:t>
      </w:r>
      <w:r w:rsidR="00891F56">
        <w:rPr>
          <w:rFonts w:ascii="Times New Roman" w:hAnsi="Times New Roman"/>
        </w:rPr>
        <w:fldChar w:fldCharType="begin"/>
      </w:r>
      <w:r w:rsidR="00891F56">
        <w:rPr>
          <w:rFonts w:ascii="Times New Roman" w:hAnsi="Times New Roman"/>
        </w:rPr>
        <w:instrText xml:space="preserve"> ADDIN EN.CITE &lt;EndNote&gt;&lt;Cite&gt;&lt;Author&gt;Gallagher&lt;/Author&gt;&lt;Year&gt;2016&lt;/Year&gt;&lt;RecNum&gt;1741&lt;/RecNum&gt;&lt;Pages&gt;1&lt;/Pages&gt;&lt;DisplayText&gt;(Gallagher, Kamal, and Wang 2016, 1)&lt;/DisplayText&gt;&lt;record&gt;&lt;rec-number&gt;1741&lt;/rec-number&gt;&lt;foreign-keys&gt;&lt;key app="EN" db-id="x2xf5e95kefpz8e59fcx5psgerr9wepetvet" timestamp="1475615062"&gt;1741&lt;/key&gt;&lt;/foreign-keys&gt;&lt;ref-type name="Report"&gt;27&lt;/ref-type&gt;&lt;contributors&gt;&lt;authors&gt;&lt;author&gt;Gallagher, Kevin P.&lt;/author&gt;&lt;author&gt;Kamal, Rohini&lt;/author&gt;&lt;author&gt;Wang, Yongzhong&lt;/author&gt;&lt;/authors&gt;&lt;/contributors&gt;&lt;titles&gt;&lt;title&gt;Fueling Growth and Financing Risk: The Benefits and Risks of China&amp;apos;s Development Finance in the Global Energy Sector. Global Economic Governance Initiative Working Paper No. 2, Boston: Boston University, Frederick S. Pardee School of Global Studies, May. https://www.bu.edu/pardeeschool/files/2016/05/Fueling-Growth.FINAL_.version.pdf &lt;/title&gt;&lt;/titles&gt;&lt;dates&gt;&lt;year&gt;2016&lt;/year&gt;&lt;/dates&gt;&lt;urls&gt;&lt;/urls&gt;&lt;/record&gt;&lt;/Cite&gt;&lt;/EndNote&gt;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(Gallagher, Kamal, and Wang 2016, 1)</w:t>
      </w:r>
      <w:r w:rsidR="00891F56">
        <w:rPr>
          <w:rFonts w:ascii="Times New Roman" w:hAnsi="Times New Roman"/>
        </w:rPr>
        <w:fldChar w:fldCharType="end"/>
      </w:r>
      <w:r w:rsidRPr="00A77BD5">
        <w:rPr>
          <w:rFonts w:ascii="Times New Roman" w:hAnsi="Times New Roman"/>
        </w:rPr>
        <w:t>. China’s initiatives express the foreign policy ambitions an</w:t>
      </w:r>
      <w:r w:rsidR="00AA7C3C">
        <w:rPr>
          <w:rFonts w:ascii="Times New Roman" w:hAnsi="Times New Roman"/>
        </w:rPr>
        <w:t>d economic objectives of its</w:t>
      </w:r>
      <w:r w:rsidRPr="00A77BD5">
        <w:rPr>
          <w:rFonts w:ascii="Times New Roman" w:hAnsi="Times New Roman"/>
        </w:rPr>
        <w:t xml:space="preserve"> leadership. They can also be understood as a pragmatic effort to respond to the infrastructure finance gap and limited voice of China and other EMDEs at the BWIs and Western MDBs. </w:t>
      </w:r>
      <w:r w:rsidR="00D326EB" w:rsidRPr="00A77BD5">
        <w:rPr>
          <w:rFonts w:ascii="Times New Roman" w:hAnsi="Times New Roman"/>
        </w:rPr>
        <w:t>China</w:t>
      </w:r>
      <w:r w:rsidRPr="00A77BD5">
        <w:rPr>
          <w:rFonts w:ascii="Times New Roman" w:hAnsi="Times New Roman"/>
        </w:rPr>
        <w:t xml:space="preserve"> has long used incremental strategies and parallel experimentation, and this experience makes it well suited for its new role in transforming the development banking landscape </w:t>
      </w:r>
      <w:r w:rsidR="00891F56">
        <w:rPr>
          <w:rFonts w:ascii="Times New Roman" w:hAnsi="Times New Roman"/>
        </w:rPr>
        <w:fldChar w:fldCharType="begin"/>
      </w:r>
      <w:r w:rsidR="00891F56">
        <w:rPr>
          <w:rFonts w:ascii="Times New Roman" w:hAnsi="Times New Roman"/>
        </w:rPr>
        <w:instrText xml:space="preserve"> ADDIN EN.CITE &lt;EndNote&gt;&lt;Cite&gt;&lt;Author&gt;Kozul-Wright&lt;/Author&gt;&lt;Year&gt;2015&lt;/Year&gt;&lt;RecNum&gt;1441&lt;/RecNum&gt;&lt;DisplayText&gt;(Kozul-Wright and Poon 2015)&lt;/DisplayText&gt;&lt;record&gt;&lt;rec-number&gt;1441&lt;/rec-number&gt;&lt;foreign-keys&gt;&lt;key app="EN" db-id="x2xf5e95kefpz8e59fcx5psgerr9wepetvet" timestamp="1447019242"&gt;1441&lt;/key&gt;&lt;/foreign-keys&gt;&lt;ref-type name="Newspaper Article"&gt;23&lt;/ref-type&gt;&lt;contributors&gt;&lt;authors&gt;&lt;author&gt;Kozul-Wright, Richard&lt;/author&gt;&lt;author&gt;Poon, Daniel&lt;/author&gt;&lt;/authors&gt;&lt;/contributors&gt;&lt;titles&gt;&lt;title&gt;Development Finance with Chinese Characteristics?&lt;/title&gt;&lt;secondary-title&gt;Project Syndicate&lt;/secondary-title&gt;&lt;/titles&gt;&lt;periodical&gt;&lt;full-title&gt;Project syndicate&lt;/full-title&gt;&lt;/periodical&gt;&lt;dates&gt;&lt;year&gt;2015&lt;/year&gt;&lt;pub-dates&gt;&lt;date&gt;May 20&lt;/date&gt;&lt;/pub-dates&gt;&lt;/dates&gt;&lt;urls&gt;&lt;related-urls&gt;&lt;url&gt;http://www.project-syndicate.org/commentary/china-silk-road-fund-development-financing-by-richard-kozul-wright-and-daniel-poon-2015-05&lt;/url&gt;&lt;/related-urls&gt;&lt;/urls&gt;&lt;/record&gt;&lt;/Cite&gt;&lt;/EndNote&gt;</w:instrText>
      </w:r>
      <w:r w:rsidR="00891F56">
        <w:rPr>
          <w:rFonts w:ascii="Times New Roman" w:hAnsi="Times New Roman"/>
        </w:rPr>
        <w:fldChar w:fldCharType="separate"/>
      </w:r>
      <w:r w:rsidR="00891F56">
        <w:rPr>
          <w:rFonts w:ascii="Times New Roman" w:hAnsi="Times New Roman"/>
          <w:noProof/>
        </w:rPr>
        <w:t>(Kozul-Wright and Poon 2015)</w:t>
      </w:r>
      <w:r w:rsidR="00891F56">
        <w:rPr>
          <w:rFonts w:ascii="Times New Roman" w:hAnsi="Times New Roman"/>
        </w:rPr>
        <w:fldChar w:fldCharType="end"/>
      </w:r>
      <w:r w:rsidRPr="00A77BD5">
        <w:rPr>
          <w:rFonts w:ascii="Times New Roman" w:hAnsi="Times New Roman"/>
        </w:rPr>
        <w:t xml:space="preserve">. China is also learning (by doing and learning from others) about infrastructure and energy finance. Clearly much remains to be learned when we consider </w:t>
      </w:r>
      <w:proofErr w:type="spellStart"/>
      <w:r w:rsidRPr="00A77BD5">
        <w:rPr>
          <w:rFonts w:ascii="Times New Roman" w:hAnsi="Times New Roman"/>
        </w:rPr>
        <w:t>overlending</w:t>
      </w:r>
      <w:proofErr w:type="spellEnd"/>
      <w:r w:rsidRPr="00A77BD5">
        <w:rPr>
          <w:rFonts w:ascii="Times New Roman" w:hAnsi="Times New Roman"/>
        </w:rPr>
        <w:t xml:space="preserve"> and the environmental footprint of the projects being financed by China-led institutions. </w:t>
      </w:r>
    </w:p>
    <w:p w14:paraId="0DCDEECC" w14:textId="77777777" w:rsidR="00DC2E23" w:rsidRPr="00A77BD5" w:rsidRDefault="00DC2E23" w:rsidP="004F7552">
      <w:pPr>
        <w:spacing w:line="360" w:lineRule="auto"/>
        <w:rPr>
          <w:rFonts w:ascii="Times New Roman" w:hAnsi="Times New Roman"/>
          <w:b/>
          <w:bCs/>
          <w:caps/>
        </w:rPr>
      </w:pPr>
      <w:r w:rsidRPr="00A77BD5">
        <w:rPr>
          <w:rFonts w:ascii="Times New Roman" w:hAnsi="Times New Roman"/>
          <w:b/>
          <w:bCs/>
          <w:caps/>
        </w:rPr>
        <w:t>Conclusion</w:t>
      </w:r>
    </w:p>
    <w:p w14:paraId="304EC028" w14:textId="36925F41" w:rsidR="00DC2E23" w:rsidRPr="00A77BD5" w:rsidRDefault="00DC2E23" w:rsidP="004F7552">
      <w:pPr>
        <w:widowControl w:val="0"/>
        <w:autoSpaceDE w:val="0"/>
        <w:autoSpaceDN w:val="0"/>
        <w:adjustRightInd w:val="0"/>
        <w:spacing w:line="360" w:lineRule="auto"/>
        <w:rPr>
          <w:rFonts w:ascii="Times New Roman" w:hAnsi="Times New Roman"/>
        </w:rPr>
      </w:pPr>
      <w:r w:rsidRPr="00A77BD5">
        <w:rPr>
          <w:rFonts w:ascii="Times New Roman" w:hAnsi="Times New Roman"/>
        </w:rPr>
        <w:t>We look out at a world where incoherence, aperture, and conflict pose grave risks. But it is naïve to think that coherent regimes</w:t>
      </w:r>
      <w:r w:rsidR="00963B36" w:rsidRPr="00A77BD5">
        <w:rPr>
          <w:rFonts w:ascii="Times New Roman" w:hAnsi="Times New Roman"/>
        </w:rPr>
        <w:t xml:space="preserve">--such as the </w:t>
      </w:r>
      <w:r w:rsidRPr="00A77BD5">
        <w:rPr>
          <w:rFonts w:ascii="Times New Roman" w:hAnsi="Times New Roman"/>
        </w:rPr>
        <w:t xml:space="preserve">monolithic GFA centered on the US and the BWIs--should be the basis of nostalgic longings to restore </w:t>
      </w:r>
      <w:r w:rsidR="00D77DD0" w:rsidRPr="00A77BD5">
        <w:rPr>
          <w:rFonts w:ascii="Times New Roman" w:hAnsi="Times New Roman"/>
        </w:rPr>
        <w:t>order</w:t>
      </w:r>
      <w:r w:rsidRPr="00A77BD5">
        <w:rPr>
          <w:rFonts w:ascii="Times New Roman" w:hAnsi="Times New Roman"/>
        </w:rPr>
        <w:t xml:space="preserve"> and clarity to the GFA. </w:t>
      </w:r>
      <w:r w:rsidR="00D77DD0" w:rsidRPr="00A77BD5">
        <w:rPr>
          <w:rFonts w:ascii="Times New Roman" w:hAnsi="Times New Roman"/>
        </w:rPr>
        <w:t>After all w</w:t>
      </w:r>
      <w:r w:rsidRPr="00A77BD5">
        <w:rPr>
          <w:rFonts w:ascii="Times New Roman" w:hAnsi="Times New Roman"/>
        </w:rPr>
        <w:t xml:space="preserve">ould </w:t>
      </w:r>
      <w:r w:rsidR="00D77DD0" w:rsidRPr="00A77BD5">
        <w:rPr>
          <w:rFonts w:ascii="Times New Roman" w:hAnsi="Times New Roman"/>
        </w:rPr>
        <w:t>it</w:t>
      </w:r>
      <w:r w:rsidRPr="00A77BD5">
        <w:rPr>
          <w:rFonts w:ascii="Times New Roman" w:hAnsi="Times New Roman"/>
        </w:rPr>
        <w:t xml:space="preserve"> be better for EMDEs if the Trump administration had at its disposal a streamlined B</w:t>
      </w:r>
      <w:r w:rsidR="00840AEF" w:rsidRPr="00A77BD5">
        <w:rPr>
          <w:rFonts w:ascii="Times New Roman" w:hAnsi="Times New Roman"/>
        </w:rPr>
        <w:t xml:space="preserve">retton Woods </w:t>
      </w:r>
      <w:r w:rsidRPr="00A77BD5">
        <w:rPr>
          <w:rFonts w:ascii="Times New Roman" w:hAnsi="Times New Roman"/>
        </w:rPr>
        <w:t xml:space="preserve">architecture through which it could leverage its power to constrain policy </w:t>
      </w:r>
      <w:r w:rsidR="003E6610" w:rsidRPr="00A77BD5">
        <w:rPr>
          <w:rFonts w:ascii="Times New Roman" w:hAnsi="Times New Roman"/>
        </w:rPr>
        <w:t>autonomy</w:t>
      </w:r>
      <w:r w:rsidRPr="00A77BD5">
        <w:rPr>
          <w:rFonts w:ascii="Times New Roman" w:hAnsi="Times New Roman"/>
        </w:rPr>
        <w:t xml:space="preserve">, frustrate progress on the SDGs, and </w:t>
      </w:r>
      <w:r w:rsidR="000717F8" w:rsidRPr="00A77BD5">
        <w:rPr>
          <w:rFonts w:ascii="Times New Roman" w:hAnsi="Times New Roman"/>
        </w:rPr>
        <w:t xml:space="preserve">otherwise </w:t>
      </w:r>
      <w:r w:rsidRPr="00A77BD5">
        <w:rPr>
          <w:rFonts w:ascii="Times New Roman" w:hAnsi="Times New Roman"/>
        </w:rPr>
        <w:t xml:space="preserve">wreak havoc? And would the </w:t>
      </w:r>
      <w:proofErr w:type="gramStart"/>
      <w:r w:rsidRPr="00A77BD5">
        <w:rPr>
          <w:rFonts w:ascii="Times New Roman" w:hAnsi="Times New Roman"/>
        </w:rPr>
        <w:t xml:space="preserve">aspirations of EMDEs be better served </w:t>
      </w:r>
      <w:r w:rsidR="000717F8" w:rsidRPr="00A77BD5">
        <w:rPr>
          <w:rFonts w:ascii="Times New Roman" w:hAnsi="Times New Roman"/>
        </w:rPr>
        <w:t xml:space="preserve">by the </w:t>
      </w:r>
      <w:r w:rsidR="003C2C10" w:rsidRPr="00A77BD5">
        <w:rPr>
          <w:rFonts w:ascii="Times New Roman" w:hAnsi="Times New Roman"/>
        </w:rPr>
        <w:t xml:space="preserve">institutionally </w:t>
      </w:r>
      <w:r w:rsidR="009840F8" w:rsidRPr="00A77BD5">
        <w:rPr>
          <w:rFonts w:ascii="Times New Roman" w:hAnsi="Times New Roman"/>
        </w:rPr>
        <w:t>sparse</w:t>
      </w:r>
      <w:r w:rsidR="000717F8" w:rsidRPr="00A77BD5">
        <w:rPr>
          <w:rFonts w:ascii="Times New Roman" w:hAnsi="Times New Roman"/>
        </w:rPr>
        <w:t xml:space="preserve"> and centripetal </w:t>
      </w:r>
      <w:r w:rsidR="003C2C10" w:rsidRPr="00A77BD5">
        <w:rPr>
          <w:rFonts w:ascii="Times New Roman" w:hAnsi="Times New Roman"/>
        </w:rPr>
        <w:t>character of the BWIs</w:t>
      </w:r>
      <w:proofErr w:type="gramEnd"/>
      <w:r w:rsidR="003C2C10" w:rsidRPr="00A77BD5">
        <w:rPr>
          <w:rFonts w:ascii="Times New Roman" w:hAnsi="Times New Roman"/>
        </w:rPr>
        <w:t xml:space="preserve"> during the </w:t>
      </w:r>
      <w:r w:rsidR="009840F8" w:rsidRPr="00A77BD5">
        <w:rPr>
          <w:rFonts w:ascii="Times New Roman" w:hAnsi="Times New Roman"/>
        </w:rPr>
        <w:t xml:space="preserve">1980s and 1990s? </w:t>
      </w:r>
      <w:r w:rsidRPr="00A77BD5">
        <w:rPr>
          <w:rFonts w:ascii="Times New Roman" w:hAnsi="Times New Roman"/>
        </w:rPr>
        <w:t xml:space="preserve">That said, those advocating a </w:t>
      </w:r>
      <w:proofErr w:type="spellStart"/>
      <w:r w:rsidRPr="00A77BD5">
        <w:rPr>
          <w:rFonts w:ascii="Times New Roman" w:hAnsi="Times New Roman"/>
        </w:rPr>
        <w:t>Hirschmanian</w:t>
      </w:r>
      <w:proofErr w:type="spellEnd"/>
      <w:r w:rsidRPr="00A77BD5">
        <w:rPr>
          <w:rFonts w:ascii="Times New Roman" w:hAnsi="Times New Roman"/>
        </w:rPr>
        <w:t xml:space="preserve"> reading cannot dodge the risks of the present conjuncture. Especially today, in the wake of </w:t>
      </w:r>
      <w:proofErr w:type="spellStart"/>
      <w:r w:rsidRPr="00A77BD5">
        <w:rPr>
          <w:rFonts w:ascii="Times New Roman" w:hAnsi="Times New Roman"/>
        </w:rPr>
        <w:t>Brexit</w:t>
      </w:r>
      <w:proofErr w:type="spellEnd"/>
      <w:r w:rsidRPr="00A77BD5">
        <w:rPr>
          <w:rFonts w:ascii="Times New Roman" w:hAnsi="Times New Roman"/>
        </w:rPr>
        <w:t>, nationalist part</w:t>
      </w:r>
      <w:r w:rsidR="009840F8" w:rsidRPr="00A77BD5">
        <w:rPr>
          <w:rFonts w:ascii="Times New Roman" w:hAnsi="Times New Roman"/>
        </w:rPr>
        <w:t>y success</w:t>
      </w:r>
      <w:r w:rsidRPr="00A77BD5">
        <w:rPr>
          <w:rFonts w:ascii="Times New Roman" w:hAnsi="Times New Roman"/>
        </w:rPr>
        <w:t xml:space="preserve"> in Europe, and the Trump administration’s </w:t>
      </w:r>
      <w:r w:rsidR="009840F8" w:rsidRPr="00A77BD5">
        <w:rPr>
          <w:rFonts w:ascii="Times New Roman" w:hAnsi="Times New Roman"/>
        </w:rPr>
        <w:t xml:space="preserve">attack on the rule of law </w:t>
      </w:r>
      <w:r w:rsidRPr="00A77BD5">
        <w:rPr>
          <w:rFonts w:ascii="Times New Roman" w:hAnsi="Times New Roman"/>
        </w:rPr>
        <w:t xml:space="preserve">and effort to dismantle the institutions of multilateralism, it is not at all difficult to imagine a </w:t>
      </w:r>
      <w:proofErr w:type="spellStart"/>
      <w:r w:rsidRPr="00A77BD5">
        <w:rPr>
          <w:rFonts w:ascii="Times New Roman" w:hAnsi="Times New Roman"/>
        </w:rPr>
        <w:t>deglobalized</w:t>
      </w:r>
      <w:proofErr w:type="spellEnd"/>
      <w:r w:rsidRPr="00A77BD5">
        <w:rPr>
          <w:rFonts w:ascii="Times New Roman" w:hAnsi="Times New Roman"/>
        </w:rPr>
        <w:t xml:space="preserve"> world of increased autonomy marked by the proliferation of </w:t>
      </w:r>
      <w:r w:rsidR="0009118E" w:rsidRPr="00A77BD5">
        <w:rPr>
          <w:rFonts w:ascii="Times New Roman" w:hAnsi="Times New Roman"/>
        </w:rPr>
        <w:t xml:space="preserve">nationalist </w:t>
      </w:r>
      <w:r w:rsidRPr="00A77BD5">
        <w:rPr>
          <w:rFonts w:ascii="Times New Roman" w:hAnsi="Times New Roman"/>
        </w:rPr>
        <w:t>beggar</w:t>
      </w:r>
      <w:r w:rsidR="0009118E" w:rsidRPr="00A77BD5">
        <w:rPr>
          <w:rFonts w:ascii="Times New Roman" w:hAnsi="Times New Roman"/>
        </w:rPr>
        <w:t>-</w:t>
      </w:r>
      <w:r w:rsidRPr="00A77BD5">
        <w:rPr>
          <w:rFonts w:ascii="Times New Roman" w:hAnsi="Times New Roman"/>
        </w:rPr>
        <w:t>thy</w:t>
      </w:r>
      <w:r w:rsidR="0009118E" w:rsidRPr="00A77BD5">
        <w:rPr>
          <w:rFonts w:ascii="Times New Roman" w:hAnsi="Times New Roman"/>
        </w:rPr>
        <w:t>-</w:t>
      </w:r>
      <w:r w:rsidRPr="00A77BD5">
        <w:rPr>
          <w:rFonts w:ascii="Times New Roman" w:hAnsi="Times New Roman"/>
        </w:rPr>
        <w:t xml:space="preserve">neighbor policies and contagious </w:t>
      </w:r>
      <w:r w:rsidR="0009118E" w:rsidRPr="00A77BD5">
        <w:rPr>
          <w:rFonts w:ascii="Times New Roman" w:hAnsi="Times New Roman"/>
        </w:rPr>
        <w:t xml:space="preserve">economic </w:t>
      </w:r>
      <w:r w:rsidRPr="00A77BD5">
        <w:rPr>
          <w:rFonts w:ascii="Times New Roman" w:hAnsi="Times New Roman"/>
        </w:rPr>
        <w:t>instability.</w:t>
      </w:r>
    </w:p>
    <w:p w14:paraId="582E9346" w14:textId="51AA4941" w:rsidR="00DC2E23" w:rsidRPr="00A77BD5" w:rsidRDefault="00DC2E23" w:rsidP="004F7552">
      <w:pPr>
        <w:pStyle w:val="FootnoteText"/>
        <w:spacing w:line="360" w:lineRule="auto"/>
        <w:ind w:firstLine="720"/>
        <w:rPr>
          <w:rFonts w:ascii="Times New Roman" w:hAnsi="Times New Roman"/>
        </w:rPr>
      </w:pPr>
      <w:r w:rsidRPr="00A77BD5">
        <w:rPr>
          <w:rFonts w:ascii="Times New Roman" w:hAnsi="Times New Roman"/>
        </w:rPr>
        <w:t xml:space="preserve">Incoherence, redundancy, and </w:t>
      </w:r>
      <w:proofErr w:type="spellStart"/>
      <w:r w:rsidRPr="00A77BD5">
        <w:rPr>
          <w:rFonts w:ascii="Times New Roman" w:hAnsi="Times New Roman"/>
        </w:rPr>
        <w:t>pluripolarity</w:t>
      </w:r>
      <w:proofErr w:type="spellEnd"/>
      <w:r w:rsidRPr="00A77BD5">
        <w:rPr>
          <w:rFonts w:ascii="Times New Roman" w:hAnsi="Times New Roman"/>
        </w:rPr>
        <w:t xml:space="preserve"> entail unique and important risks. Institutions may work at cross-purposes, especially during crisis moments, undermining each other’s efforts and/or imposing cross-border spillovers that disrupt each other’s economies. Destabilization may deepen if </w:t>
      </w:r>
      <w:r w:rsidR="00A4687E" w:rsidRPr="00A77BD5">
        <w:rPr>
          <w:rFonts w:ascii="Times New Roman" w:hAnsi="Times New Roman"/>
        </w:rPr>
        <w:t xml:space="preserve">there are </w:t>
      </w:r>
      <w:r w:rsidRPr="00A77BD5">
        <w:rPr>
          <w:rFonts w:ascii="Times New Roman" w:hAnsi="Times New Roman"/>
        </w:rPr>
        <w:t xml:space="preserve">uncertainties </w:t>
      </w:r>
      <w:r w:rsidR="00A4687E" w:rsidRPr="00A77BD5">
        <w:rPr>
          <w:rFonts w:ascii="Times New Roman" w:hAnsi="Times New Roman"/>
        </w:rPr>
        <w:t>about</w:t>
      </w:r>
      <w:r w:rsidRPr="00A77BD5">
        <w:rPr>
          <w:rFonts w:ascii="Times New Roman" w:hAnsi="Times New Roman"/>
        </w:rPr>
        <w:t xml:space="preserve"> </w:t>
      </w:r>
      <w:r w:rsidR="00AD6EB4" w:rsidRPr="00A77BD5">
        <w:rPr>
          <w:rFonts w:ascii="Times New Roman" w:hAnsi="Times New Roman"/>
        </w:rPr>
        <w:t xml:space="preserve">where responsibility lies </w:t>
      </w:r>
      <w:r w:rsidR="00B54C44" w:rsidRPr="00A77BD5">
        <w:rPr>
          <w:rFonts w:ascii="Times New Roman" w:hAnsi="Times New Roman"/>
        </w:rPr>
        <w:t xml:space="preserve">(and who is responsible for what measures) </w:t>
      </w:r>
      <w:r w:rsidR="00AD6EB4" w:rsidRPr="00A77BD5">
        <w:rPr>
          <w:rFonts w:ascii="Times New Roman" w:hAnsi="Times New Roman"/>
        </w:rPr>
        <w:t>during</w:t>
      </w:r>
      <w:r w:rsidRPr="00A77BD5">
        <w:rPr>
          <w:rFonts w:ascii="Times New Roman" w:hAnsi="Times New Roman"/>
        </w:rPr>
        <w:t xml:space="preserve"> crisis. Similarly, unce</w:t>
      </w:r>
      <w:r w:rsidR="003F083C" w:rsidRPr="00A77BD5">
        <w:rPr>
          <w:rFonts w:ascii="Times New Roman" w:hAnsi="Times New Roman"/>
        </w:rPr>
        <w:t>rtainties or conflict around</w:t>
      </w:r>
      <w:r w:rsidRPr="00A77BD5">
        <w:rPr>
          <w:rFonts w:ascii="Times New Roman" w:hAnsi="Times New Roman"/>
        </w:rPr>
        <w:t xml:space="preserve"> rules of engagement and </w:t>
      </w:r>
      <w:r w:rsidR="0082090C" w:rsidRPr="00A77BD5">
        <w:rPr>
          <w:rFonts w:ascii="Times New Roman" w:hAnsi="Times New Roman"/>
        </w:rPr>
        <w:t xml:space="preserve">leadership </w:t>
      </w:r>
      <w:r w:rsidRPr="00A77BD5">
        <w:rPr>
          <w:rFonts w:ascii="Times New Roman" w:hAnsi="Times New Roman"/>
        </w:rPr>
        <w:t xml:space="preserve">can deepen </w:t>
      </w:r>
      <w:r w:rsidR="0082090C" w:rsidRPr="00A77BD5">
        <w:rPr>
          <w:rFonts w:ascii="Times New Roman" w:hAnsi="Times New Roman"/>
        </w:rPr>
        <w:t>instability during a crisis, as the Troika experience demonstrates</w:t>
      </w:r>
      <w:r w:rsidRPr="00A77BD5">
        <w:rPr>
          <w:rFonts w:ascii="Times New Roman" w:hAnsi="Times New Roman"/>
        </w:rPr>
        <w:t xml:space="preserve">. Experience with these </w:t>
      </w:r>
      <w:r w:rsidR="00607AD1" w:rsidRPr="00A77BD5">
        <w:rPr>
          <w:rFonts w:ascii="Times New Roman" w:hAnsi="Times New Roman"/>
        </w:rPr>
        <w:t xml:space="preserve">risks surely drives </w:t>
      </w:r>
      <w:r w:rsidRPr="00A77BD5">
        <w:rPr>
          <w:rFonts w:ascii="Times New Roman" w:hAnsi="Times New Roman"/>
        </w:rPr>
        <w:t xml:space="preserve">the IMF’s </w:t>
      </w:r>
      <w:r w:rsidR="00607AD1" w:rsidRPr="00A77BD5">
        <w:rPr>
          <w:rFonts w:ascii="Times New Roman" w:hAnsi="Times New Roman"/>
        </w:rPr>
        <w:t xml:space="preserve">new </w:t>
      </w:r>
      <w:r w:rsidRPr="00A77BD5">
        <w:rPr>
          <w:rFonts w:ascii="Times New Roman" w:hAnsi="Times New Roman"/>
        </w:rPr>
        <w:t>engagement with EMDE ins</w:t>
      </w:r>
      <w:r w:rsidR="004422D8" w:rsidRPr="00A77BD5">
        <w:rPr>
          <w:rFonts w:ascii="Times New Roman" w:hAnsi="Times New Roman"/>
        </w:rPr>
        <w:t xml:space="preserve">titutions </w:t>
      </w:r>
      <w:r w:rsidR="00891F56">
        <w:rPr>
          <w:rFonts w:ascii="Times New Roman" w:hAnsi="Times New Roman"/>
        </w:rPr>
        <w:fldChar w:fldCharType="begin"/>
      </w:r>
      <w:r w:rsidR="00891F56">
        <w:rPr>
          <w:rFonts w:ascii="Times New Roman" w:hAnsi="Times New Roman"/>
        </w:rPr>
        <w:instrText xml:space="preserve"> ADDIN EN.CITE &lt;EndNote&gt;&lt;Cite&gt;&lt;Author&gt;IMF&lt;/Author&gt;&lt;Year&gt;2017&lt;/Year&gt;&lt;RecNum&gt;1954&lt;/RecNum&gt;&lt;DisplayText&gt;(IMF 2017a, Henning 2018)&lt;/DisplayText&gt;&lt;record&gt;&lt;rec-number&gt;1954&lt;/rec-number&gt;&lt;foreign-keys&gt;&lt;key app="EN" db-id="x2xf5e95kefpz8e59fcx5psgerr9wepetvet" timestamp="1532303267"&gt;1954&lt;/key&gt;&lt;/foreign-keys&gt;&lt;ref-type name="Report"&gt;27&lt;/ref-type&gt;&lt;contributors&gt;&lt;authors&gt;&lt;author&gt;IMF&lt;/author&gt;&lt;/authors&gt;&lt;/contributors&gt;&lt;titles&gt;&lt;title&gt;Adequacy of the Global Financial Safety Net--Proposal for a New Policy Coordination Instrument. IMF Policy Paper, Washington, DC: International Monetary Fund, July 26. https://www.imf.org/en/Publications/Policy-Papers/Issues/2017/07/26/pp072617-adequacy-of-the-global-financial-safety-net&lt;/title&gt;&lt;/titles&gt;&lt;dates&gt;&lt;year&gt;2017&lt;/year&gt;&lt;/dates&gt;&lt;urls&gt;&lt;/urls&gt;&lt;/record&gt;&lt;/Cite&gt;&lt;Cite&gt;&lt;Author&gt;Henning&lt;/Author&gt;&lt;Year&gt;2018&lt;/Year&gt;&lt;RecNum&gt;1965&lt;/RecNum&gt;&lt;record&gt;&lt;rec-number&gt;1965&lt;/rec-number&gt;&lt;foreign-keys&gt;&lt;key app="EN" db-id="x2xf5e95kefpz8e59fcx5psgerr9wepetvet" timestamp="1532982898"&gt;1965&lt;/key&gt;&lt;/foreign-keys&gt;&lt;ref-type name="Report"&gt;27&lt;/ref-type&gt;&lt;contributors&gt;&lt;authors&gt;&lt;author&gt;Henning, C. Randall&lt;/author&gt;&lt;/authors&gt;&lt;/contributors&gt;&lt;titles&gt;&lt;title&gt;&lt;style face="normal" font="default" size="100%"&gt;Regime Complexity and the Institutions of Crisis and Development Finance, submitted for consideration in special issue of &lt;/style&gt;&lt;style face="italic" font="default" size="100%"&gt;Development and Change&lt;/style&gt;&lt;/title&gt;&lt;/titles&gt;&lt;dates&gt;&lt;year&gt;2018&lt;/year&gt;&lt;/dates&gt;&lt;urls&gt;&lt;/urls&gt;&lt;/record&gt;&lt;/Cite&gt;&lt;/EndNote&gt;</w:instrText>
      </w:r>
      <w:r w:rsidR="00891F56">
        <w:rPr>
          <w:rFonts w:ascii="Times New Roman" w:hAnsi="Times New Roman"/>
        </w:rPr>
        <w:fldChar w:fldCharType="separate"/>
      </w:r>
      <w:r w:rsidR="00891F56">
        <w:rPr>
          <w:rFonts w:ascii="Times New Roman" w:hAnsi="Times New Roman"/>
          <w:noProof/>
        </w:rPr>
        <w:t>(IMF 2017a, Henning 2018)</w:t>
      </w:r>
      <w:r w:rsidR="00891F56">
        <w:rPr>
          <w:rFonts w:ascii="Times New Roman" w:hAnsi="Times New Roman"/>
        </w:rPr>
        <w:fldChar w:fldCharType="end"/>
      </w:r>
      <w:r w:rsidRPr="00A77BD5">
        <w:rPr>
          <w:rFonts w:ascii="Times New Roman" w:hAnsi="Times New Roman"/>
        </w:rPr>
        <w:t xml:space="preserve">. </w:t>
      </w:r>
      <w:r w:rsidR="00082612" w:rsidRPr="00A77BD5">
        <w:rPr>
          <w:rFonts w:ascii="Times New Roman" w:hAnsi="Times New Roman"/>
        </w:rPr>
        <w:t>T</w:t>
      </w:r>
      <w:r w:rsidR="00337D23" w:rsidRPr="00A77BD5">
        <w:rPr>
          <w:rFonts w:ascii="Times New Roman" w:hAnsi="Times New Roman"/>
        </w:rPr>
        <w:t xml:space="preserve">he </w:t>
      </w:r>
      <w:r w:rsidR="00082612" w:rsidRPr="00A77BD5">
        <w:rPr>
          <w:rFonts w:ascii="Times New Roman" w:hAnsi="Times New Roman"/>
        </w:rPr>
        <w:t xml:space="preserve">performance of the </w:t>
      </w:r>
      <w:r w:rsidR="00337D23" w:rsidRPr="00A77BD5">
        <w:rPr>
          <w:rFonts w:ascii="Times New Roman" w:hAnsi="Times New Roman"/>
        </w:rPr>
        <w:t xml:space="preserve">global safety net can </w:t>
      </w:r>
      <w:r w:rsidR="004606FD" w:rsidRPr="00A77BD5">
        <w:rPr>
          <w:rFonts w:ascii="Times New Roman" w:hAnsi="Times New Roman"/>
        </w:rPr>
        <w:t>be enhanced</w:t>
      </w:r>
      <w:r w:rsidR="0010051F" w:rsidRPr="00A77BD5">
        <w:rPr>
          <w:rFonts w:ascii="Times New Roman" w:hAnsi="Times New Roman"/>
        </w:rPr>
        <w:t xml:space="preserve"> not just through cooperation and coordination, but also </w:t>
      </w:r>
      <w:r w:rsidR="00F325D4" w:rsidRPr="00A77BD5">
        <w:rPr>
          <w:rFonts w:ascii="Times New Roman" w:hAnsi="Times New Roman"/>
        </w:rPr>
        <w:t xml:space="preserve">through </w:t>
      </w:r>
      <w:r w:rsidR="00F30BE7" w:rsidRPr="00A77BD5">
        <w:rPr>
          <w:rFonts w:ascii="Times New Roman" w:hAnsi="Times New Roman"/>
        </w:rPr>
        <w:t xml:space="preserve">broad </w:t>
      </w:r>
      <w:r w:rsidR="004606FD" w:rsidRPr="00A77BD5">
        <w:rPr>
          <w:rFonts w:ascii="Times New Roman" w:hAnsi="Times New Roman"/>
        </w:rPr>
        <w:t xml:space="preserve">use </w:t>
      </w:r>
      <w:r w:rsidR="00082612" w:rsidRPr="00A77BD5">
        <w:rPr>
          <w:rFonts w:ascii="Times New Roman" w:hAnsi="Times New Roman"/>
        </w:rPr>
        <w:t xml:space="preserve">of </w:t>
      </w:r>
      <w:r w:rsidRPr="00A77BD5">
        <w:rPr>
          <w:rFonts w:ascii="Times New Roman" w:hAnsi="Times New Roman"/>
        </w:rPr>
        <w:t>test runs</w:t>
      </w:r>
      <w:r w:rsidR="004606FD" w:rsidRPr="00A77BD5">
        <w:rPr>
          <w:rFonts w:ascii="Times New Roman" w:hAnsi="Times New Roman"/>
        </w:rPr>
        <w:t xml:space="preserve"> </w:t>
      </w:r>
      <w:r w:rsidR="00082612" w:rsidRPr="00A77BD5">
        <w:rPr>
          <w:rFonts w:ascii="Times New Roman" w:hAnsi="Times New Roman"/>
        </w:rPr>
        <w:t xml:space="preserve">as with </w:t>
      </w:r>
      <w:r w:rsidRPr="00A77BD5">
        <w:rPr>
          <w:rFonts w:ascii="Times New Roman" w:hAnsi="Times New Roman"/>
        </w:rPr>
        <w:t>CMIM</w:t>
      </w:r>
      <w:r w:rsidR="00082612" w:rsidRPr="00A77BD5">
        <w:rPr>
          <w:rFonts w:ascii="Times New Roman" w:hAnsi="Times New Roman"/>
        </w:rPr>
        <w:t>-</w:t>
      </w:r>
      <w:r w:rsidRPr="00A77BD5">
        <w:rPr>
          <w:rFonts w:ascii="Times New Roman" w:hAnsi="Times New Roman"/>
        </w:rPr>
        <w:t xml:space="preserve">AMRO. </w:t>
      </w:r>
    </w:p>
    <w:p w14:paraId="0DD4CEFB" w14:textId="54EE4E6B" w:rsidR="00DC2E23" w:rsidRPr="00A77BD5" w:rsidRDefault="008C1658" w:rsidP="004F7552">
      <w:pPr>
        <w:pStyle w:val="FootnoteText"/>
        <w:spacing w:line="360" w:lineRule="auto"/>
        <w:ind w:firstLine="720"/>
        <w:rPr>
          <w:rFonts w:ascii="Times New Roman" w:hAnsi="Times New Roman"/>
        </w:rPr>
      </w:pPr>
      <w:r w:rsidRPr="00A77BD5">
        <w:rPr>
          <w:rFonts w:ascii="Times New Roman" w:hAnsi="Times New Roman"/>
        </w:rPr>
        <w:t>We should consider the present moment an interregnum between an era dominated by a dysfunctional B</w:t>
      </w:r>
      <w:r w:rsidR="00995B24">
        <w:rPr>
          <w:rFonts w:ascii="Times New Roman" w:hAnsi="Times New Roman"/>
        </w:rPr>
        <w:t xml:space="preserve">retton </w:t>
      </w:r>
      <w:r w:rsidRPr="00A77BD5">
        <w:rPr>
          <w:rFonts w:ascii="Times New Roman" w:hAnsi="Times New Roman"/>
        </w:rPr>
        <w:t>W</w:t>
      </w:r>
      <w:r w:rsidR="00995B24">
        <w:rPr>
          <w:rFonts w:ascii="Times New Roman" w:hAnsi="Times New Roman"/>
        </w:rPr>
        <w:t>ood</w:t>
      </w:r>
      <w:r w:rsidRPr="00A77BD5">
        <w:rPr>
          <w:rFonts w:ascii="Times New Roman" w:hAnsi="Times New Roman"/>
        </w:rPr>
        <w:t>s monocult</w:t>
      </w:r>
      <w:r w:rsidR="003F7DDA">
        <w:rPr>
          <w:rFonts w:ascii="Times New Roman" w:hAnsi="Times New Roman"/>
        </w:rPr>
        <w:t>ure that underserved EMDEs and ‘something else,’</w:t>
      </w:r>
      <w:r w:rsidRPr="00A77BD5">
        <w:rPr>
          <w:rFonts w:ascii="Times New Roman" w:hAnsi="Times New Roman"/>
        </w:rPr>
        <w:t xml:space="preserve"> the parameters of which are as of yet unknown and unknowable. It is safe to assume that </w:t>
      </w:r>
      <w:r w:rsidR="006747CF" w:rsidRPr="00A77BD5">
        <w:rPr>
          <w:rFonts w:ascii="Times New Roman" w:hAnsi="Times New Roman"/>
        </w:rPr>
        <w:t xml:space="preserve">the </w:t>
      </w:r>
      <w:r w:rsidR="00DC2E23" w:rsidRPr="00A77BD5">
        <w:rPr>
          <w:rFonts w:ascii="Times New Roman" w:hAnsi="Times New Roman"/>
        </w:rPr>
        <w:t xml:space="preserve">institutions surveyed </w:t>
      </w:r>
      <w:r w:rsidR="00E43FF4" w:rsidRPr="00A77BD5">
        <w:rPr>
          <w:rFonts w:ascii="Times New Roman" w:hAnsi="Times New Roman"/>
        </w:rPr>
        <w:t xml:space="preserve">here (and in the symposium) are </w:t>
      </w:r>
      <w:r w:rsidR="00DC2E23" w:rsidRPr="00A77BD5">
        <w:rPr>
          <w:rFonts w:ascii="Times New Roman" w:hAnsi="Times New Roman"/>
        </w:rPr>
        <w:t xml:space="preserve">not likely to meld into </w:t>
      </w:r>
      <w:r w:rsidR="00E43FF4" w:rsidRPr="00A77BD5">
        <w:rPr>
          <w:rFonts w:ascii="Times New Roman" w:hAnsi="Times New Roman"/>
        </w:rPr>
        <w:t xml:space="preserve">a </w:t>
      </w:r>
      <w:r w:rsidR="00DC2E23" w:rsidRPr="00A77BD5">
        <w:rPr>
          <w:rFonts w:ascii="Times New Roman" w:hAnsi="Times New Roman"/>
        </w:rPr>
        <w:t xml:space="preserve">new, coherent system of developmental finance that </w:t>
      </w:r>
      <w:r w:rsidR="007630DF" w:rsidRPr="00A77BD5">
        <w:rPr>
          <w:rFonts w:ascii="Times New Roman" w:hAnsi="Times New Roman"/>
        </w:rPr>
        <w:t>resembles the pre-GFC world</w:t>
      </w:r>
      <w:r w:rsidR="00D155AF" w:rsidRPr="00A77BD5">
        <w:rPr>
          <w:rFonts w:ascii="Times New Roman" w:hAnsi="Times New Roman"/>
        </w:rPr>
        <w:t xml:space="preserve">. </w:t>
      </w:r>
      <w:r w:rsidR="00DC2E23" w:rsidRPr="00A77BD5">
        <w:rPr>
          <w:rFonts w:ascii="Times New Roman" w:hAnsi="Times New Roman"/>
        </w:rPr>
        <w:t xml:space="preserve">The initiatives that are emerging are fragmentary and heterogeneous, some are internally fraught with rivalry and suspicion, and many are no doubt marked by the same kinds of ambiguity as the BWIs, where gritty, muddled day-to-day practice conflicts with coherent, pristine mission statements. </w:t>
      </w:r>
    </w:p>
    <w:p w14:paraId="381531E6" w14:textId="1F39AE26" w:rsidR="00DC2E23" w:rsidRPr="00A77BD5" w:rsidRDefault="00DC2E23" w:rsidP="004F7552">
      <w:pPr>
        <w:spacing w:line="360" w:lineRule="auto"/>
        <w:ind w:firstLine="720"/>
        <w:rPr>
          <w:rFonts w:ascii="Times New Roman" w:hAnsi="Times New Roman"/>
        </w:rPr>
      </w:pPr>
      <w:r w:rsidRPr="00A77BD5">
        <w:rPr>
          <w:rFonts w:ascii="Times New Roman" w:hAnsi="Times New Roman"/>
        </w:rPr>
        <w:t xml:space="preserve">I do not take these features as fatal flaws or as </w:t>
      </w:r>
      <w:r w:rsidR="00521E9F" w:rsidRPr="00A77BD5">
        <w:rPr>
          <w:rFonts w:ascii="Times New Roman" w:hAnsi="Times New Roman"/>
        </w:rPr>
        <w:t>support for</w:t>
      </w:r>
      <w:r w:rsidRPr="00A77BD5">
        <w:rPr>
          <w:rFonts w:ascii="Times New Roman" w:hAnsi="Times New Roman"/>
        </w:rPr>
        <w:t xml:space="preserve"> the continuity thesis. Instead, guided by Hirschman, I recognize the present period of institutional experimentation, expansion, problem solving, hybridization, and network creation as a moment of pragmatic innovation that just might yield institutions, practices, and networks that do better than their predecessors in promoting financial stability and resilience, and as a consequence of that, provide the possibi</w:t>
      </w:r>
      <w:r w:rsidR="00AA7C3C">
        <w:rPr>
          <w:rFonts w:ascii="Times New Roman" w:hAnsi="Times New Roman"/>
        </w:rPr>
        <w:t xml:space="preserve">lity for development that is </w:t>
      </w:r>
      <w:r w:rsidRPr="00A77BD5">
        <w:rPr>
          <w:rFonts w:ascii="Times New Roman" w:hAnsi="Times New Roman"/>
        </w:rPr>
        <w:t xml:space="preserve">more stable, inclusive, sustainable, and protective of autonomy. With Hirschman, I place emphasis on the potential </w:t>
      </w:r>
      <w:r w:rsidR="00AE356B" w:rsidRPr="00A77BD5">
        <w:rPr>
          <w:rFonts w:ascii="Times New Roman" w:hAnsi="Times New Roman"/>
        </w:rPr>
        <w:t xml:space="preserve">that unscripted adjustments have to </w:t>
      </w:r>
      <w:r w:rsidR="00925509" w:rsidRPr="00A77BD5">
        <w:rPr>
          <w:rFonts w:ascii="Times New Roman" w:hAnsi="Times New Roman"/>
        </w:rPr>
        <w:t xml:space="preserve">enhance possibilities for </w:t>
      </w:r>
      <w:r w:rsidR="00AE356B" w:rsidRPr="00A77BD5">
        <w:rPr>
          <w:rFonts w:ascii="Times New Roman" w:hAnsi="Times New Roman"/>
        </w:rPr>
        <w:t xml:space="preserve">learning, </w:t>
      </w:r>
      <w:r w:rsidR="00925509" w:rsidRPr="00A77BD5">
        <w:rPr>
          <w:rFonts w:ascii="Times New Roman" w:hAnsi="Times New Roman"/>
        </w:rPr>
        <w:t xml:space="preserve">network creation, </w:t>
      </w:r>
      <w:r w:rsidR="00345FBA" w:rsidRPr="00A77BD5">
        <w:rPr>
          <w:rFonts w:ascii="Times New Roman" w:hAnsi="Times New Roman"/>
        </w:rPr>
        <w:t xml:space="preserve">and autonomy-enhancing development.  </w:t>
      </w:r>
    </w:p>
    <w:p w14:paraId="20281FAB" w14:textId="6D02C50E" w:rsidR="00DC2E23" w:rsidRPr="00A77BD5" w:rsidRDefault="00DC2E23" w:rsidP="004F7552">
      <w:pPr>
        <w:spacing w:line="360" w:lineRule="auto"/>
        <w:ind w:firstLine="720"/>
        <w:rPr>
          <w:rFonts w:ascii="Times New Roman" w:hAnsi="Times New Roman"/>
        </w:rPr>
      </w:pPr>
      <w:r w:rsidRPr="00A77BD5">
        <w:rPr>
          <w:rFonts w:ascii="Times New Roman" w:hAnsi="Times New Roman"/>
        </w:rPr>
        <w:t>At a minimum, the flourishing of heterogeneous EMDE institutions generates opportunities for exit from unresponsive institutions and forum shopping. As a consequence, the evolutionary changes and discontinuities considered here may increase EMDE resilience, bargaining power, and voice vis-à-vis the BWIs. To the extent that opportunities for forum shopping are realized, the BWIs may face pressure to respond to long-held concerns. In any event, the leverage of larger EMDEs in global and regional financial governance is increasing as sever</w:t>
      </w:r>
      <w:r w:rsidR="00F72595" w:rsidRPr="00A77BD5">
        <w:rPr>
          <w:rFonts w:ascii="Times New Roman" w:hAnsi="Times New Roman"/>
        </w:rPr>
        <w:t>al of the institutions surveyed</w:t>
      </w:r>
      <w:r w:rsidRPr="00A77BD5">
        <w:rPr>
          <w:rFonts w:ascii="Times New Roman" w:hAnsi="Times New Roman"/>
        </w:rPr>
        <w:t xml:space="preserve"> and especially Chinese-led institutions have come to play a more prominent role. The vacuum created by the US’ turn from multilateralism suggests that there will be both greater space and greater need for China and others to step into the void. </w:t>
      </w:r>
    </w:p>
    <w:p w14:paraId="3E53B82A" w14:textId="10398067" w:rsidR="00DC2E23" w:rsidRPr="00A77BD5" w:rsidRDefault="00DC2E23" w:rsidP="004F7552">
      <w:pPr>
        <w:spacing w:line="360" w:lineRule="auto"/>
        <w:ind w:firstLine="720"/>
        <w:rPr>
          <w:rFonts w:ascii="Times New Roman" w:hAnsi="Times New Roman"/>
        </w:rPr>
      </w:pPr>
      <w:r w:rsidRPr="00A77BD5">
        <w:rPr>
          <w:rFonts w:ascii="Times New Roman" w:hAnsi="Times New Roman"/>
        </w:rPr>
        <w:t>The emerging productive redundancy threatens the apparent efficiency of the streamlined, top-down, centralized B</w:t>
      </w:r>
      <w:r w:rsidR="00995B24">
        <w:rPr>
          <w:rFonts w:ascii="Times New Roman" w:hAnsi="Times New Roman"/>
        </w:rPr>
        <w:t xml:space="preserve">retton </w:t>
      </w:r>
      <w:r w:rsidRPr="00A77BD5">
        <w:rPr>
          <w:rFonts w:ascii="Times New Roman" w:hAnsi="Times New Roman"/>
        </w:rPr>
        <w:t>W</w:t>
      </w:r>
      <w:r w:rsidR="00995B24">
        <w:rPr>
          <w:rFonts w:ascii="Times New Roman" w:hAnsi="Times New Roman"/>
        </w:rPr>
        <w:t>ood</w:t>
      </w:r>
      <w:r w:rsidRPr="00A77BD5">
        <w:rPr>
          <w:rFonts w:ascii="Times New Roman" w:hAnsi="Times New Roman"/>
        </w:rPr>
        <w:t>s dominated world, which promised efficiency but in fact generated extraordinary risk and crisis contagion while starving EMDEs of adequate developmental finance. Redundancy and networks of cooperation may increase overall resilience because it increases the size and range of liquidity support opportunities while also providing new avenues to secure finance for infrastructure, energy and at least some of the SDGs. Engineers naturally understand the need for redundancy in safety systems</w:t>
      </w:r>
      <w:r w:rsidR="006D1C92" w:rsidRPr="00A77BD5">
        <w:rPr>
          <w:rFonts w:ascii="Times New Roman" w:hAnsi="Times New Roman"/>
        </w:rPr>
        <w:t xml:space="preserve"> to ensure that the systems do well when placed under intense stress</w:t>
      </w:r>
      <w:r w:rsidRPr="00A77BD5">
        <w:rPr>
          <w:rFonts w:ascii="Times New Roman" w:hAnsi="Times New Roman"/>
        </w:rPr>
        <w:t xml:space="preserve">. The increasingly dense and networked developmental finance landscape </w:t>
      </w:r>
      <w:r w:rsidR="006D1C92" w:rsidRPr="00A77BD5">
        <w:rPr>
          <w:rFonts w:ascii="Times New Roman" w:hAnsi="Times New Roman"/>
        </w:rPr>
        <w:t xml:space="preserve">is </w:t>
      </w:r>
      <w:r w:rsidRPr="00A77BD5">
        <w:rPr>
          <w:rFonts w:ascii="Times New Roman" w:hAnsi="Times New Roman"/>
        </w:rPr>
        <w:t xml:space="preserve">prudent in </w:t>
      </w:r>
      <w:r w:rsidR="00D97FD4" w:rsidRPr="00A77BD5">
        <w:rPr>
          <w:rFonts w:ascii="Times New Roman" w:hAnsi="Times New Roman"/>
        </w:rPr>
        <w:t xml:space="preserve">the </w:t>
      </w:r>
      <w:r w:rsidR="00D756EE" w:rsidRPr="00A77BD5">
        <w:rPr>
          <w:rFonts w:ascii="Times New Roman" w:hAnsi="Times New Roman"/>
        </w:rPr>
        <w:t xml:space="preserve">very </w:t>
      </w:r>
      <w:r w:rsidR="00D97FD4" w:rsidRPr="00A77BD5">
        <w:rPr>
          <w:rFonts w:ascii="Times New Roman" w:hAnsi="Times New Roman"/>
        </w:rPr>
        <w:t>same way</w:t>
      </w:r>
      <w:r w:rsidR="00D756EE" w:rsidRPr="00A77BD5">
        <w:rPr>
          <w:rFonts w:ascii="Times New Roman" w:hAnsi="Times New Roman"/>
        </w:rPr>
        <w:t xml:space="preserve">, even if they are by no means adequate in their current form to ensure </w:t>
      </w:r>
      <w:r w:rsidR="00CB3E41" w:rsidRPr="00A77BD5">
        <w:rPr>
          <w:rFonts w:ascii="Times New Roman" w:hAnsi="Times New Roman"/>
        </w:rPr>
        <w:t>stability</w:t>
      </w:r>
      <w:r w:rsidR="00D97FD4" w:rsidRPr="00A77BD5">
        <w:rPr>
          <w:rFonts w:ascii="Times New Roman" w:hAnsi="Times New Roman"/>
        </w:rPr>
        <w:t>.</w:t>
      </w:r>
    </w:p>
    <w:p w14:paraId="5E74ECFC" w14:textId="77777777" w:rsidR="00B54CB6" w:rsidRDefault="00DC2E23" w:rsidP="004F7552">
      <w:pPr>
        <w:spacing w:line="360" w:lineRule="auto"/>
        <w:ind w:firstLine="720"/>
        <w:rPr>
          <w:rFonts w:ascii="Times New Roman" w:hAnsi="Times New Roman"/>
        </w:rPr>
      </w:pPr>
      <w:r w:rsidRPr="00A77BD5">
        <w:rPr>
          <w:rFonts w:ascii="Times New Roman" w:hAnsi="Times New Roman"/>
        </w:rPr>
        <w:t xml:space="preserve">The new initiatives provide </w:t>
      </w:r>
      <w:proofErr w:type="spellStart"/>
      <w:r w:rsidRPr="00A77BD5">
        <w:rPr>
          <w:rFonts w:ascii="Times New Roman" w:hAnsi="Times New Roman"/>
        </w:rPr>
        <w:t>Hirschmanian</w:t>
      </w:r>
      <w:proofErr w:type="spellEnd"/>
      <w:r w:rsidRPr="00A77BD5">
        <w:rPr>
          <w:rFonts w:ascii="Times New Roman" w:hAnsi="Times New Roman"/>
        </w:rPr>
        <w:t xml:space="preserve"> opportunities—for learning by doing and learning from others, parallel experimentation, and providential problem solving that only comes about as a consequence of the Hiding Hand. The next crisis may propel new initiatives and a deepening of embryonic institutions and partnerships that speak to challenges that now appear irresolvable (such as challenges around the IMF that have dogged CMIM and others). Moreover, the proliferation of institutions is vital to the creation of new networks within countries and across national borders that can enhance indigenous and widely dispersed capacity in areas that are fundamental to autonomy-promoting development. </w:t>
      </w:r>
      <w:r w:rsidR="00CB3E41" w:rsidRPr="00A77BD5">
        <w:rPr>
          <w:rFonts w:ascii="Times New Roman" w:hAnsi="Times New Roman"/>
        </w:rPr>
        <w:t>I must reiterate</w:t>
      </w:r>
      <w:r w:rsidRPr="00A77BD5">
        <w:rPr>
          <w:rFonts w:ascii="Times New Roman" w:hAnsi="Times New Roman"/>
        </w:rPr>
        <w:t xml:space="preserve"> in this context that even experimental failures can and often do leave in their wake vital linkages and knowledge that may be available for and enable subsequent endeavors. Ad hoc, pragmatic adjustments and discontinuities rather than a tightly constrained choreography—that is what Hirschman put his faith in, messy though it may be. And that is what is just what is emerging across the landscape of developmental finance. </w:t>
      </w:r>
    </w:p>
    <w:p w14:paraId="5AC1D0CF" w14:textId="3DE62A6A" w:rsidR="00C64B7A" w:rsidRPr="00787AC9" w:rsidRDefault="00787AC9" w:rsidP="00F505EF">
      <w:pPr>
        <w:spacing w:line="360" w:lineRule="auto"/>
        <w:rPr>
          <w:rFonts w:ascii="Times New Roman" w:hAnsi="Times New Roman"/>
          <w:b/>
        </w:rPr>
      </w:pPr>
      <w:r>
        <w:rPr>
          <w:rFonts w:ascii="Times New Roman" w:hAnsi="Times New Roman"/>
        </w:rPr>
        <w:br w:type="page"/>
      </w:r>
      <w:r w:rsidR="003E061F">
        <w:rPr>
          <w:rFonts w:ascii="Times New Roman" w:hAnsi="Times New Roman"/>
        </w:rPr>
        <w:br/>
      </w:r>
      <w:r w:rsidR="00FE2FF5">
        <w:rPr>
          <w:rFonts w:ascii="Times New Roman" w:hAnsi="Times New Roman"/>
          <w:b/>
        </w:rPr>
        <w:t>REFERENCES</w:t>
      </w:r>
    </w:p>
    <w:p w14:paraId="7C983F01" w14:textId="77777777" w:rsidR="00891F56" w:rsidRDefault="00891F56" w:rsidP="00F505EF">
      <w:pPr>
        <w:spacing w:line="360" w:lineRule="auto"/>
        <w:rPr>
          <w:rFonts w:ascii="Times New Roman" w:hAnsi="Times New Roman"/>
        </w:rPr>
      </w:pPr>
    </w:p>
    <w:p w14:paraId="2760CF22" w14:textId="7A7B04AF" w:rsidR="00891F56" w:rsidRPr="00891F56" w:rsidRDefault="00891F56" w:rsidP="008B42F7">
      <w:pPr>
        <w:pStyle w:val="EndNoteBibliography"/>
        <w:spacing w:line="360" w:lineRule="auto"/>
        <w:ind w:left="720" w:hanging="720"/>
        <w:rPr>
          <w:noProof/>
        </w:rPr>
      </w:pPr>
      <w:r>
        <w:rPr>
          <w:rFonts w:ascii="Times New Roman" w:hAnsi="Times New Roman"/>
        </w:rPr>
        <w:fldChar w:fldCharType="begin"/>
      </w:r>
      <w:r>
        <w:rPr>
          <w:rFonts w:ascii="Times New Roman" w:hAnsi="Times New Roman"/>
        </w:rPr>
        <w:instrText xml:space="preserve"> ADDIN EN.REFLIST </w:instrText>
      </w:r>
      <w:r>
        <w:rPr>
          <w:rFonts w:ascii="Times New Roman" w:hAnsi="Times New Roman"/>
        </w:rPr>
        <w:fldChar w:fldCharType="separate"/>
      </w:r>
      <w:r w:rsidRPr="00891F56">
        <w:rPr>
          <w:noProof/>
        </w:rPr>
        <w:t xml:space="preserve">Acharya, Amitav. 2017. "After Liberal Hegemony: The Advent of a Multiplex World Order." </w:t>
      </w:r>
      <w:r w:rsidRPr="00891F56">
        <w:rPr>
          <w:i/>
          <w:noProof/>
        </w:rPr>
        <w:t>Ethics &amp; International Affairs</w:t>
      </w:r>
      <w:r w:rsidRPr="00891F56">
        <w:rPr>
          <w:noProof/>
        </w:rPr>
        <w:t xml:space="preserve">. </w:t>
      </w:r>
      <w:hyperlink r:id="rId10" w:history="1">
        <w:r w:rsidRPr="00891F56">
          <w:rPr>
            <w:rStyle w:val="Hyperlink"/>
            <w:rFonts w:asciiTheme="minorHAnsi" w:hAnsiTheme="minorHAnsi"/>
            <w:noProof/>
          </w:rPr>
          <w:t>https://www.ethicsandinternationalaffairs.org/2017/multiplex-world-order/</w:t>
        </w:r>
      </w:hyperlink>
      <w:r w:rsidRPr="00891F56">
        <w:rPr>
          <w:noProof/>
        </w:rPr>
        <w:t>.</w:t>
      </w:r>
    </w:p>
    <w:p w14:paraId="50E34A77" w14:textId="77777777" w:rsidR="00891F56" w:rsidRPr="00891F56" w:rsidRDefault="00891F56" w:rsidP="008B42F7">
      <w:pPr>
        <w:pStyle w:val="EndNoteBibliography"/>
        <w:spacing w:line="360" w:lineRule="auto"/>
        <w:ind w:left="720" w:hanging="720"/>
        <w:rPr>
          <w:noProof/>
        </w:rPr>
      </w:pPr>
      <w:r w:rsidRPr="00891F56">
        <w:rPr>
          <w:noProof/>
        </w:rPr>
        <w:t xml:space="preserve">Adelman, Jeremy. 2013. </w:t>
      </w:r>
      <w:r w:rsidRPr="00891F56">
        <w:rPr>
          <w:i/>
          <w:noProof/>
        </w:rPr>
        <w:t>Worldly Philosopher: The Odyssey of Albert O. Hirschman</w:t>
      </w:r>
      <w:r w:rsidRPr="00891F56">
        <w:rPr>
          <w:noProof/>
        </w:rPr>
        <w:t>. Princeton, NJ: Princeton University Press.</w:t>
      </w:r>
    </w:p>
    <w:p w14:paraId="0C4E4E4C" w14:textId="77777777" w:rsidR="00891F56" w:rsidRPr="00891F56" w:rsidRDefault="00891F56" w:rsidP="008B42F7">
      <w:pPr>
        <w:pStyle w:val="EndNoteBibliography"/>
        <w:spacing w:line="360" w:lineRule="auto"/>
        <w:ind w:left="720" w:hanging="720"/>
        <w:rPr>
          <w:noProof/>
        </w:rPr>
      </w:pPr>
      <w:r w:rsidRPr="00891F56">
        <w:rPr>
          <w:noProof/>
        </w:rPr>
        <w:t xml:space="preserve">Akyüz, Yilmaz. 2017. </w:t>
      </w:r>
      <w:r w:rsidRPr="00891F56">
        <w:rPr>
          <w:i/>
          <w:noProof/>
        </w:rPr>
        <w:t>Playing With Fire: Deepended Financial Integration and Changing Vulnerabilities of the Global South</w:t>
      </w:r>
      <w:r w:rsidRPr="00891F56">
        <w:rPr>
          <w:noProof/>
        </w:rPr>
        <w:t>. Oxford: Oxford University Press.</w:t>
      </w:r>
    </w:p>
    <w:p w14:paraId="4E782205" w14:textId="77777777" w:rsidR="00891F56" w:rsidRPr="00891F56" w:rsidRDefault="00891F56" w:rsidP="008B42F7">
      <w:pPr>
        <w:pStyle w:val="EndNoteBibliography"/>
        <w:spacing w:line="360" w:lineRule="auto"/>
        <w:ind w:left="720" w:hanging="720"/>
        <w:rPr>
          <w:noProof/>
        </w:rPr>
      </w:pPr>
      <w:r w:rsidRPr="00891F56">
        <w:rPr>
          <w:noProof/>
        </w:rPr>
        <w:t xml:space="preserve">Armijo, Leslie Elliott. 2017. "The Public Bank Trilemma: Brazil’s New Developmentalism and the BNDES " In </w:t>
      </w:r>
      <w:r w:rsidRPr="00891F56">
        <w:rPr>
          <w:i/>
          <w:noProof/>
        </w:rPr>
        <w:t xml:space="preserve">Democratic Brazil Ascendant </w:t>
      </w:r>
      <w:r w:rsidRPr="00891F56">
        <w:rPr>
          <w:noProof/>
        </w:rPr>
        <w:t>edited by Peter Kingstone and Timothy Power, 230-247. Pittsburgh: University of Pittsburgh Press.</w:t>
      </w:r>
    </w:p>
    <w:p w14:paraId="00650333" w14:textId="77777777" w:rsidR="00891F56" w:rsidRPr="00891F56" w:rsidRDefault="00891F56" w:rsidP="008B42F7">
      <w:pPr>
        <w:pStyle w:val="EndNoteBibliography"/>
        <w:spacing w:line="360" w:lineRule="auto"/>
        <w:ind w:left="720" w:hanging="720"/>
        <w:rPr>
          <w:noProof/>
        </w:rPr>
      </w:pPr>
      <w:r w:rsidRPr="00891F56">
        <w:rPr>
          <w:noProof/>
        </w:rPr>
        <w:t xml:space="preserve">Armijo, Leslie Elliott, and Cynthia Roberts. 2014. "The Emerging Powers and Global Governance: Why the BRICS Matter." In </w:t>
      </w:r>
      <w:r w:rsidRPr="00891F56">
        <w:rPr>
          <w:i/>
          <w:noProof/>
        </w:rPr>
        <w:t>Handbook of Emerging Economies</w:t>
      </w:r>
      <w:r w:rsidRPr="00891F56">
        <w:rPr>
          <w:noProof/>
        </w:rPr>
        <w:t>, edited by Robert Looney, 503-24. London: Routledge.</w:t>
      </w:r>
    </w:p>
    <w:p w14:paraId="17431F78" w14:textId="77777777" w:rsidR="00891F56" w:rsidRPr="00891F56" w:rsidRDefault="00891F56" w:rsidP="008B42F7">
      <w:pPr>
        <w:pStyle w:val="EndNoteBibliography"/>
        <w:spacing w:line="360" w:lineRule="auto"/>
        <w:ind w:left="720" w:hanging="720"/>
        <w:rPr>
          <w:noProof/>
        </w:rPr>
      </w:pPr>
      <w:r w:rsidRPr="00891F56">
        <w:rPr>
          <w:noProof/>
        </w:rPr>
        <w:t xml:space="preserve">AsDB/IADB. 2012. </w:t>
      </w:r>
      <w:r w:rsidRPr="00891F56">
        <w:rPr>
          <w:i/>
          <w:noProof/>
        </w:rPr>
        <w:t>Shaping the Future of Asia-Latin American and the Caribbean Relationship</w:t>
      </w:r>
      <w:r w:rsidRPr="00891F56">
        <w:rPr>
          <w:noProof/>
        </w:rPr>
        <w:t>. Manila: Asian Development Bank, Inter-American Development Bank, and Asian Development Bank Institute.</w:t>
      </w:r>
    </w:p>
    <w:p w14:paraId="68D83613" w14:textId="3F998F75" w:rsidR="00891F56" w:rsidRPr="00891F56" w:rsidRDefault="00891F56" w:rsidP="008B42F7">
      <w:pPr>
        <w:pStyle w:val="EndNoteBibliography"/>
        <w:spacing w:line="360" w:lineRule="auto"/>
        <w:ind w:left="720" w:hanging="720"/>
        <w:rPr>
          <w:noProof/>
        </w:rPr>
      </w:pPr>
      <w:r w:rsidRPr="00891F56">
        <w:rPr>
          <w:noProof/>
        </w:rPr>
        <w:t xml:space="preserve">ASEAN. 2016. Joint Statement of the 19th ASEAN+3 Finance Ministers' and Central Bank Governors' Meeting. Frankfurt, 3 May. </w:t>
      </w:r>
      <w:hyperlink r:id="rId11" w:history="1">
        <w:r w:rsidRPr="00891F56">
          <w:rPr>
            <w:rStyle w:val="Hyperlink"/>
            <w:rFonts w:asciiTheme="minorHAnsi" w:hAnsiTheme="minorHAnsi"/>
            <w:noProof/>
          </w:rPr>
          <w:t>http://asean.org/joint-statement-19th-asean3-finance-ministers-central-bank-governors-meeting-3-may-2016-frankfurt-germany/</w:t>
        </w:r>
      </w:hyperlink>
      <w:r w:rsidRPr="00891F56">
        <w:rPr>
          <w:noProof/>
        </w:rPr>
        <w:t>.</w:t>
      </w:r>
    </w:p>
    <w:p w14:paraId="053BDD66" w14:textId="77777777" w:rsidR="00891F56" w:rsidRPr="00891F56" w:rsidRDefault="00891F56" w:rsidP="008B42F7">
      <w:pPr>
        <w:pStyle w:val="EndNoteBibliography"/>
        <w:spacing w:line="360" w:lineRule="auto"/>
        <w:ind w:left="720" w:hanging="720"/>
        <w:rPr>
          <w:noProof/>
        </w:rPr>
      </w:pPr>
      <w:r w:rsidRPr="00891F56">
        <w:rPr>
          <w:noProof/>
        </w:rPr>
        <w:t xml:space="preserve">Ban, Cornel. 2018. Austerity Europe Versus Keynesian Europe, submitted for consideration in special issue of </w:t>
      </w:r>
      <w:r w:rsidRPr="00891F56">
        <w:rPr>
          <w:i/>
          <w:noProof/>
        </w:rPr>
        <w:t>Development and Change</w:t>
      </w:r>
      <w:r w:rsidRPr="00891F56">
        <w:rPr>
          <w:noProof/>
        </w:rPr>
        <w:t>.</w:t>
      </w:r>
    </w:p>
    <w:p w14:paraId="617070B8" w14:textId="77777777" w:rsidR="00891F56" w:rsidRPr="00891F56" w:rsidRDefault="00891F56" w:rsidP="008B42F7">
      <w:pPr>
        <w:pStyle w:val="EndNoteBibliography"/>
        <w:spacing w:line="360" w:lineRule="auto"/>
        <w:ind w:left="720" w:hanging="720"/>
        <w:rPr>
          <w:noProof/>
        </w:rPr>
      </w:pPr>
      <w:r w:rsidRPr="00891F56">
        <w:rPr>
          <w:noProof/>
        </w:rPr>
        <w:t xml:space="preserve">Bond, Patrick. 2016. "BRICS Banking and the Debate over Sub-imperialism." </w:t>
      </w:r>
      <w:r w:rsidRPr="00891F56">
        <w:rPr>
          <w:i/>
          <w:noProof/>
        </w:rPr>
        <w:t>Third World Quarterly</w:t>
      </w:r>
      <w:r w:rsidRPr="00891F56">
        <w:rPr>
          <w:noProof/>
        </w:rPr>
        <w:t xml:space="preserve"> 37 (4):611-29.</w:t>
      </w:r>
    </w:p>
    <w:p w14:paraId="55F29C8B" w14:textId="2A832C78" w:rsidR="00891F56" w:rsidRPr="00891F56" w:rsidRDefault="00891F56" w:rsidP="008B42F7">
      <w:pPr>
        <w:pStyle w:val="EndNoteBibliography"/>
        <w:spacing w:line="360" w:lineRule="auto"/>
        <w:ind w:left="720" w:hanging="720"/>
        <w:rPr>
          <w:noProof/>
        </w:rPr>
      </w:pPr>
      <w:r w:rsidRPr="00891F56">
        <w:rPr>
          <w:noProof/>
        </w:rPr>
        <w:t xml:space="preserve">BRICS. 2014. Sixth Summit: Fortaleza Declaration and Action Plan. Fortaleza, Brazil, July 15. </w:t>
      </w:r>
      <w:hyperlink r:id="rId12" w:history="1">
        <w:r w:rsidRPr="00891F56">
          <w:rPr>
            <w:rStyle w:val="Hyperlink"/>
            <w:rFonts w:asciiTheme="minorHAnsi" w:hAnsiTheme="minorHAnsi"/>
            <w:noProof/>
          </w:rPr>
          <w:t>http://brics.itamaraty.gov.br/category-english/21-documents/223-sixth-summit-declaration-and-action-plan</w:t>
        </w:r>
      </w:hyperlink>
      <w:r w:rsidRPr="00891F56">
        <w:rPr>
          <w:noProof/>
        </w:rPr>
        <w:t>.</w:t>
      </w:r>
    </w:p>
    <w:p w14:paraId="727C2ACB" w14:textId="77777777" w:rsidR="00891F56" w:rsidRPr="00891F56" w:rsidRDefault="00891F56" w:rsidP="008B42F7">
      <w:pPr>
        <w:pStyle w:val="EndNoteBibliography"/>
        <w:spacing w:line="360" w:lineRule="auto"/>
        <w:ind w:left="720" w:hanging="720"/>
        <w:rPr>
          <w:noProof/>
        </w:rPr>
      </w:pPr>
      <w:r w:rsidRPr="00891F56">
        <w:rPr>
          <w:noProof/>
        </w:rPr>
        <w:t xml:space="preserve">Chandrasekhar, C. P. 2014. "Banking with a Difference." </w:t>
      </w:r>
      <w:r w:rsidRPr="00891F56">
        <w:rPr>
          <w:i/>
          <w:noProof/>
        </w:rPr>
        <w:t>Economic and Political Weekly</w:t>
      </w:r>
      <w:r w:rsidRPr="00891F56">
        <w:rPr>
          <w:noProof/>
        </w:rPr>
        <w:t xml:space="preserve"> XLIX (32):10-12.</w:t>
      </w:r>
    </w:p>
    <w:p w14:paraId="570C4BB5" w14:textId="77777777" w:rsidR="00891F56" w:rsidRPr="00891F56" w:rsidRDefault="00891F56" w:rsidP="008B42F7">
      <w:pPr>
        <w:pStyle w:val="EndNoteBibliography"/>
        <w:spacing w:line="360" w:lineRule="auto"/>
        <w:ind w:left="720" w:hanging="720"/>
        <w:rPr>
          <w:noProof/>
        </w:rPr>
      </w:pPr>
      <w:r w:rsidRPr="00891F56">
        <w:rPr>
          <w:noProof/>
        </w:rPr>
        <w:t xml:space="preserve">Chin, Gregory. 2014. "China's Rising Monetary Power." In </w:t>
      </w:r>
      <w:r w:rsidRPr="00891F56">
        <w:rPr>
          <w:i/>
          <w:noProof/>
        </w:rPr>
        <w:t>The Great Wall of Money</w:t>
      </w:r>
      <w:r w:rsidRPr="00891F56">
        <w:rPr>
          <w:noProof/>
        </w:rPr>
        <w:t>, edited by Eric Helleiner and Jonathan Kirshner, 184-263. Ithaca, NY: Cornell University Press.</w:t>
      </w:r>
    </w:p>
    <w:p w14:paraId="4C598636" w14:textId="7142B229" w:rsidR="00891F56" w:rsidRPr="00891F56" w:rsidRDefault="00891F56" w:rsidP="008B42F7">
      <w:pPr>
        <w:pStyle w:val="EndNoteBibliography"/>
        <w:spacing w:line="360" w:lineRule="auto"/>
        <w:ind w:left="720" w:hanging="720"/>
        <w:rPr>
          <w:noProof/>
        </w:rPr>
      </w:pPr>
      <w:r w:rsidRPr="00891F56">
        <w:rPr>
          <w:noProof/>
        </w:rPr>
        <w:t xml:space="preserve">Chin, Gregory, and Carla Freeman. 2016. "What is Next? ...for World Order and Global Governance." </w:t>
      </w:r>
      <w:r w:rsidRPr="00891F56">
        <w:rPr>
          <w:i/>
          <w:noProof/>
        </w:rPr>
        <w:t>Global Policy</w:t>
      </w:r>
      <w:r w:rsidRPr="00891F56">
        <w:rPr>
          <w:noProof/>
        </w:rPr>
        <w:t xml:space="preserve">. </w:t>
      </w:r>
      <w:hyperlink r:id="rId13" w:history="1">
        <w:r w:rsidRPr="00891F56">
          <w:rPr>
            <w:rStyle w:val="Hyperlink"/>
            <w:rFonts w:asciiTheme="minorHAnsi" w:hAnsiTheme="minorHAnsi"/>
            <w:noProof/>
          </w:rPr>
          <w:t>https://www.globalpolicyjournal.com/blog/03/11/2016/what-next-world-order-and-global-governance</w:t>
        </w:r>
      </w:hyperlink>
      <w:r w:rsidRPr="00891F56">
        <w:rPr>
          <w:noProof/>
        </w:rPr>
        <w:t>.</w:t>
      </w:r>
    </w:p>
    <w:p w14:paraId="432E4A8F" w14:textId="77777777" w:rsidR="00891F56" w:rsidRPr="00891F56" w:rsidRDefault="00891F56" w:rsidP="008B42F7">
      <w:pPr>
        <w:pStyle w:val="EndNoteBibliography"/>
        <w:spacing w:line="360" w:lineRule="auto"/>
        <w:ind w:left="720" w:hanging="720"/>
        <w:rPr>
          <w:noProof/>
        </w:rPr>
      </w:pPr>
      <w:r w:rsidRPr="00891F56">
        <w:rPr>
          <w:noProof/>
        </w:rPr>
        <w:t xml:space="preserve">Chin, Gregory, and Kevin Gallagher. 2018. Coordinated Credit Spaces: The Globalization of Chinese Development Finance, submitted for consideration in special issue of </w:t>
      </w:r>
      <w:r w:rsidRPr="00891F56">
        <w:rPr>
          <w:i/>
          <w:noProof/>
        </w:rPr>
        <w:t>Development and Change</w:t>
      </w:r>
      <w:r w:rsidRPr="00891F56">
        <w:rPr>
          <w:noProof/>
        </w:rPr>
        <w:t>.</w:t>
      </w:r>
    </w:p>
    <w:p w14:paraId="0175A281" w14:textId="77777777" w:rsidR="00891F56" w:rsidRPr="00891F56" w:rsidRDefault="00891F56" w:rsidP="008B42F7">
      <w:pPr>
        <w:pStyle w:val="EndNoteBibliography"/>
        <w:spacing w:line="360" w:lineRule="auto"/>
        <w:ind w:left="720" w:hanging="720"/>
        <w:rPr>
          <w:noProof/>
        </w:rPr>
      </w:pPr>
      <w:r w:rsidRPr="00891F56">
        <w:rPr>
          <w:noProof/>
        </w:rPr>
        <w:t xml:space="preserve">Culpeper, Roy. 1997. </w:t>
      </w:r>
      <w:r w:rsidRPr="00891F56">
        <w:rPr>
          <w:i/>
          <w:noProof/>
        </w:rPr>
        <w:t>The Multilateral Development Banks: Vol. 5, Titans or Behemoths?</w:t>
      </w:r>
      <w:r w:rsidRPr="00891F56">
        <w:rPr>
          <w:noProof/>
        </w:rPr>
        <w:t xml:space="preserve"> Boulder, CO: Lynne Rienner.</w:t>
      </w:r>
    </w:p>
    <w:p w14:paraId="10EECBC9" w14:textId="77777777" w:rsidR="00891F56" w:rsidRPr="00891F56" w:rsidRDefault="00891F56" w:rsidP="008B42F7">
      <w:pPr>
        <w:pStyle w:val="EndNoteBibliography"/>
        <w:spacing w:line="360" w:lineRule="auto"/>
        <w:ind w:left="720" w:hanging="720"/>
        <w:rPr>
          <w:noProof/>
        </w:rPr>
      </w:pPr>
      <w:r w:rsidRPr="00891F56">
        <w:rPr>
          <w:noProof/>
        </w:rPr>
        <w:t xml:space="preserve">DeMartino, George F. 2011. </w:t>
      </w:r>
      <w:r w:rsidRPr="00891F56">
        <w:rPr>
          <w:i/>
          <w:noProof/>
        </w:rPr>
        <w:t>The Economist's Oath:  On the Need for and Content of Professional Economic Ethics</w:t>
      </w:r>
      <w:r w:rsidRPr="00891F56">
        <w:rPr>
          <w:noProof/>
        </w:rPr>
        <w:t>. Oxford: Oxford University Press.</w:t>
      </w:r>
    </w:p>
    <w:p w14:paraId="7DFB34BC" w14:textId="77777777" w:rsidR="00891F56" w:rsidRPr="00891F56" w:rsidRDefault="00891F56" w:rsidP="008B42F7">
      <w:pPr>
        <w:pStyle w:val="EndNoteBibliography"/>
        <w:spacing w:line="360" w:lineRule="auto"/>
        <w:ind w:left="720" w:hanging="720"/>
        <w:rPr>
          <w:noProof/>
        </w:rPr>
      </w:pPr>
      <w:r w:rsidRPr="00891F56">
        <w:rPr>
          <w:noProof/>
        </w:rPr>
        <w:t xml:space="preserve">DeMartino, George F. 2013. "Ethical Engagement in a World Beyond Control." </w:t>
      </w:r>
      <w:r w:rsidRPr="00891F56">
        <w:rPr>
          <w:i/>
          <w:noProof/>
        </w:rPr>
        <w:t>Rethinking Marxism</w:t>
      </w:r>
      <w:r w:rsidRPr="00891F56">
        <w:rPr>
          <w:noProof/>
        </w:rPr>
        <w:t xml:space="preserve"> 25 (4):483-500.</w:t>
      </w:r>
    </w:p>
    <w:p w14:paraId="3EE9CAF1" w14:textId="77777777" w:rsidR="00891F56" w:rsidRPr="00891F56" w:rsidRDefault="00891F56" w:rsidP="008B42F7">
      <w:pPr>
        <w:pStyle w:val="EndNoteBibliography"/>
        <w:spacing w:line="360" w:lineRule="auto"/>
        <w:ind w:left="720" w:hanging="720"/>
        <w:rPr>
          <w:noProof/>
        </w:rPr>
      </w:pPr>
      <w:r w:rsidRPr="00891F56">
        <w:rPr>
          <w:noProof/>
        </w:rPr>
        <w:t xml:space="preserve">Easterly, William. 2008. "Introduction: Can't Take It Anymore?" In </w:t>
      </w:r>
      <w:r w:rsidRPr="00891F56">
        <w:rPr>
          <w:i/>
          <w:noProof/>
        </w:rPr>
        <w:t>Reinventing Foreign Aid</w:t>
      </w:r>
      <w:r w:rsidRPr="00891F56">
        <w:rPr>
          <w:noProof/>
        </w:rPr>
        <w:t>, edited by William Easterly, 1-44. Cambridge, MA: MIT Press.</w:t>
      </w:r>
    </w:p>
    <w:p w14:paraId="458A21D1" w14:textId="38B5AF41" w:rsidR="00891F56" w:rsidRPr="00891F56" w:rsidRDefault="00891F56" w:rsidP="008B42F7">
      <w:pPr>
        <w:pStyle w:val="EndNoteBibliography"/>
        <w:spacing w:line="360" w:lineRule="auto"/>
        <w:ind w:left="720" w:hanging="720"/>
        <w:rPr>
          <w:noProof/>
        </w:rPr>
      </w:pPr>
      <w:r w:rsidRPr="00891F56">
        <w:rPr>
          <w:noProof/>
        </w:rPr>
        <w:t xml:space="preserve">EFSD website. Eurasian Fund for Stablization and Development. Moscow.  </w:t>
      </w:r>
      <w:hyperlink r:id="rId14" w:history="1">
        <w:r w:rsidRPr="00891F56">
          <w:rPr>
            <w:rStyle w:val="Hyperlink"/>
            <w:rFonts w:asciiTheme="minorHAnsi" w:hAnsiTheme="minorHAnsi"/>
            <w:noProof/>
          </w:rPr>
          <w:t>http://efsd.eabr.org/e/</w:t>
        </w:r>
      </w:hyperlink>
      <w:r w:rsidRPr="00891F56">
        <w:rPr>
          <w:noProof/>
        </w:rPr>
        <w:t>.</w:t>
      </w:r>
    </w:p>
    <w:p w14:paraId="3A6044C6" w14:textId="77777777" w:rsidR="00891F56" w:rsidRPr="00891F56" w:rsidRDefault="00891F56" w:rsidP="008B42F7">
      <w:pPr>
        <w:pStyle w:val="EndNoteBibliography"/>
        <w:spacing w:line="360" w:lineRule="auto"/>
        <w:ind w:left="720" w:hanging="720"/>
        <w:rPr>
          <w:noProof/>
        </w:rPr>
      </w:pPr>
      <w:r w:rsidRPr="00891F56">
        <w:rPr>
          <w:noProof/>
        </w:rPr>
        <w:t xml:space="preserve">Ellerman, David. 2005. </w:t>
      </w:r>
      <w:r w:rsidRPr="00891F56">
        <w:rPr>
          <w:i/>
          <w:noProof/>
        </w:rPr>
        <w:t>Helping People Help Themselves</w:t>
      </w:r>
      <w:r w:rsidRPr="00891F56">
        <w:rPr>
          <w:noProof/>
        </w:rPr>
        <w:t>. Ann Arbor: University of Michigan Press.</w:t>
      </w:r>
    </w:p>
    <w:p w14:paraId="2CCF0CC4" w14:textId="77777777" w:rsidR="00891F56" w:rsidRPr="00891F56" w:rsidRDefault="00891F56" w:rsidP="008B42F7">
      <w:pPr>
        <w:pStyle w:val="EndNoteBibliography"/>
        <w:spacing w:line="360" w:lineRule="auto"/>
        <w:ind w:left="720" w:hanging="720"/>
        <w:rPr>
          <w:noProof/>
        </w:rPr>
      </w:pPr>
      <w:r w:rsidRPr="00891F56">
        <w:rPr>
          <w:noProof/>
        </w:rPr>
        <w:t xml:space="preserve">Fritz, Barbara, and Laurissa Mühlich. 2018. Regional Financial Arrangements in the Global Safety Net: The Arab and the Eurasian Fund, submitted for consideration in special issue of </w:t>
      </w:r>
      <w:r w:rsidRPr="00891F56">
        <w:rPr>
          <w:i/>
          <w:noProof/>
        </w:rPr>
        <w:t>Development and Change</w:t>
      </w:r>
      <w:r w:rsidRPr="00891F56">
        <w:rPr>
          <w:noProof/>
        </w:rPr>
        <w:t>.</w:t>
      </w:r>
    </w:p>
    <w:p w14:paraId="316C4673" w14:textId="36CF3B62" w:rsidR="00891F56" w:rsidRPr="00891F56" w:rsidRDefault="00891F56" w:rsidP="008B42F7">
      <w:pPr>
        <w:pStyle w:val="EndNoteBibliography"/>
        <w:spacing w:line="360" w:lineRule="auto"/>
        <w:ind w:left="720" w:hanging="720"/>
        <w:rPr>
          <w:noProof/>
        </w:rPr>
      </w:pPr>
      <w:r w:rsidRPr="00891F56">
        <w:rPr>
          <w:noProof/>
        </w:rPr>
        <w:t>Gallagher, Kevin P., Rohini Kamal, and Yongzhong Wang. 2016. Fuel</w:t>
      </w:r>
      <w:r w:rsidR="001601B1">
        <w:rPr>
          <w:noProof/>
        </w:rPr>
        <w:t>ing Growth and Financing Risk</w:t>
      </w:r>
      <w:r w:rsidRPr="00891F56">
        <w:rPr>
          <w:noProof/>
        </w:rPr>
        <w:t xml:space="preserve">. Global Economic Governance Initiative Working Paper No. 2, Boston: Boston University, Frederick S. Pardee School of Global Studies, May. </w:t>
      </w:r>
      <w:hyperlink r:id="rId15" w:history="1">
        <w:r w:rsidRPr="00891F56">
          <w:rPr>
            <w:rStyle w:val="Hyperlink"/>
            <w:rFonts w:asciiTheme="minorHAnsi" w:hAnsiTheme="minorHAnsi"/>
            <w:noProof/>
          </w:rPr>
          <w:t>https://www.bu.edu/pardeeschool/files/2016/05/Fueling-Growth.FINAL_.version.pdf</w:t>
        </w:r>
      </w:hyperlink>
      <w:r w:rsidRPr="00891F56">
        <w:rPr>
          <w:noProof/>
        </w:rPr>
        <w:t xml:space="preserve"> </w:t>
      </w:r>
    </w:p>
    <w:p w14:paraId="56F85591" w14:textId="77777777" w:rsidR="00891F56" w:rsidRPr="00891F56" w:rsidRDefault="00891F56" w:rsidP="008B42F7">
      <w:pPr>
        <w:pStyle w:val="EndNoteBibliography"/>
        <w:spacing w:line="360" w:lineRule="auto"/>
        <w:ind w:left="720" w:hanging="720"/>
        <w:rPr>
          <w:noProof/>
        </w:rPr>
      </w:pPr>
      <w:r w:rsidRPr="00891F56">
        <w:rPr>
          <w:noProof/>
        </w:rPr>
        <w:t xml:space="preserve">Grabel, Ilene. 2011. "Not Your Grandfather's IMF: Global Crisis, ‘Productive Incoherence’ and Developmental Policy Space." </w:t>
      </w:r>
      <w:r w:rsidRPr="00891F56">
        <w:rPr>
          <w:i/>
          <w:noProof/>
        </w:rPr>
        <w:t>Cambridge Journal of Economics</w:t>
      </w:r>
      <w:r w:rsidRPr="00891F56">
        <w:rPr>
          <w:noProof/>
        </w:rPr>
        <w:t xml:space="preserve"> 35 (5):805-30.</w:t>
      </w:r>
    </w:p>
    <w:p w14:paraId="4BEEEAAE" w14:textId="670D8242" w:rsidR="00891F56" w:rsidRPr="00891F56" w:rsidRDefault="00891F56" w:rsidP="008B42F7">
      <w:pPr>
        <w:pStyle w:val="EndNoteBibliography"/>
        <w:spacing w:line="360" w:lineRule="auto"/>
        <w:ind w:left="720" w:hanging="720"/>
        <w:rPr>
          <w:noProof/>
        </w:rPr>
      </w:pPr>
      <w:r w:rsidRPr="00891F56">
        <w:rPr>
          <w:noProof/>
        </w:rPr>
        <w:t xml:space="preserve">Grabel, Ilene. 2013. Financial Architectures and Development: Resilience, Policy Space, and Human Development in the Global South. Human Development Report Office Occasional Paper No. 7. New York: United Nations Development Programme. </w:t>
      </w:r>
      <w:hyperlink r:id="rId16" w:history="1">
        <w:r w:rsidRPr="00891F56">
          <w:rPr>
            <w:rStyle w:val="Hyperlink"/>
            <w:rFonts w:asciiTheme="minorHAnsi" w:hAnsiTheme="minorHAnsi"/>
            <w:noProof/>
          </w:rPr>
          <w:t>http://hdr.undp.org/sites/default/files/hdro_1307_grabel.pdf</w:t>
        </w:r>
      </w:hyperlink>
      <w:r w:rsidRPr="00891F56">
        <w:rPr>
          <w:noProof/>
        </w:rPr>
        <w:t>.</w:t>
      </w:r>
    </w:p>
    <w:p w14:paraId="041E63D4" w14:textId="77777777" w:rsidR="00891F56" w:rsidRPr="00891F56" w:rsidRDefault="00891F56" w:rsidP="008B42F7">
      <w:pPr>
        <w:pStyle w:val="EndNoteBibliography"/>
        <w:spacing w:line="360" w:lineRule="auto"/>
        <w:ind w:left="720" w:hanging="720"/>
        <w:rPr>
          <w:noProof/>
        </w:rPr>
      </w:pPr>
      <w:r w:rsidRPr="00891F56">
        <w:rPr>
          <w:noProof/>
        </w:rPr>
        <w:t xml:space="preserve">Grabel, Ilene. 2015. "The Rebranding of Capital Controls in an Era of Productive Incoherence." </w:t>
      </w:r>
      <w:r w:rsidRPr="00891F56">
        <w:rPr>
          <w:i/>
          <w:noProof/>
        </w:rPr>
        <w:t>Review of International Political Economy</w:t>
      </w:r>
      <w:r w:rsidRPr="00891F56">
        <w:rPr>
          <w:noProof/>
        </w:rPr>
        <w:t xml:space="preserve"> 22 (1):7-43.</w:t>
      </w:r>
    </w:p>
    <w:p w14:paraId="1BC5098D" w14:textId="77777777" w:rsidR="00891F56" w:rsidRPr="00891F56" w:rsidRDefault="00891F56" w:rsidP="008B42F7">
      <w:pPr>
        <w:pStyle w:val="EndNoteBibliography"/>
        <w:spacing w:line="360" w:lineRule="auto"/>
        <w:ind w:left="720" w:hanging="720"/>
        <w:rPr>
          <w:noProof/>
        </w:rPr>
      </w:pPr>
      <w:r w:rsidRPr="00891F56">
        <w:rPr>
          <w:noProof/>
        </w:rPr>
        <w:t xml:space="preserve">Grabel, Ilene. 2017. </w:t>
      </w:r>
      <w:r w:rsidRPr="00891F56">
        <w:rPr>
          <w:i/>
          <w:noProof/>
        </w:rPr>
        <w:t>When Things Don’t Fall Apart: Global Financial Governance and Developmental Finance in an Age of Productive Incoherence</w:t>
      </w:r>
      <w:r w:rsidRPr="00891F56">
        <w:rPr>
          <w:noProof/>
        </w:rPr>
        <w:t>. Cambridge, MA: MIT Press.</w:t>
      </w:r>
    </w:p>
    <w:p w14:paraId="1E9ED5B6" w14:textId="77777777" w:rsidR="00891F56" w:rsidRPr="00891F56" w:rsidRDefault="00891F56" w:rsidP="008B42F7">
      <w:pPr>
        <w:pStyle w:val="EndNoteBibliography"/>
        <w:spacing w:line="360" w:lineRule="auto"/>
        <w:ind w:left="720" w:hanging="720"/>
        <w:rPr>
          <w:noProof/>
        </w:rPr>
      </w:pPr>
      <w:r w:rsidRPr="00891F56">
        <w:rPr>
          <w:noProof/>
        </w:rPr>
        <w:t xml:space="preserve">Grabel, Ilene. 2018. "Reflections on the Economics Profession, the Neoliberal Conjuncture, and the Emerging Democratic Crisis: An Analysis in the Spirit of Albert O. Hirschman." </w:t>
      </w:r>
      <w:r w:rsidRPr="00891F56">
        <w:rPr>
          <w:i/>
          <w:noProof/>
        </w:rPr>
        <w:t>Forum for Social Economics</w:t>
      </w:r>
      <w:r w:rsidRPr="00891F56">
        <w:rPr>
          <w:noProof/>
        </w:rPr>
        <w:t xml:space="preserve"> 47 (2):173-83. DOI: 10.1080/07360932.2018.1451761.</w:t>
      </w:r>
    </w:p>
    <w:p w14:paraId="4537687A" w14:textId="0C88ABAE" w:rsidR="00891F56" w:rsidRPr="00891F56" w:rsidRDefault="00891F56" w:rsidP="008B42F7">
      <w:pPr>
        <w:pStyle w:val="EndNoteBibliography"/>
        <w:spacing w:line="360" w:lineRule="auto"/>
        <w:ind w:left="720" w:hanging="720"/>
        <w:rPr>
          <w:noProof/>
        </w:rPr>
      </w:pPr>
      <w:r w:rsidRPr="00891F56">
        <w:rPr>
          <w:noProof/>
        </w:rPr>
        <w:t xml:space="preserve">Griffith-Jones, Stephany, Barbara Fritz, and Marcos Antonio Cintra. 2014. "The BRICS Contingent Reserve Arrangement Is a Step Towards More Financial Stability." </w:t>
      </w:r>
      <w:r w:rsidRPr="00891F56">
        <w:rPr>
          <w:i/>
          <w:noProof/>
        </w:rPr>
        <w:t>recoveryhumanface.org</w:t>
      </w:r>
      <w:r w:rsidRPr="00891F56">
        <w:rPr>
          <w:noProof/>
        </w:rPr>
        <w:t xml:space="preserve">, July 24. </w:t>
      </w:r>
      <w:hyperlink r:id="rId17" w:history="1">
        <w:r w:rsidRPr="00891F56">
          <w:rPr>
            <w:rStyle w:val="Hyperlink"/>
            <w:rFonts w:asciiTheme="minorHAnsi" w:hAnsiTheme="minorHAnsi"/>
            <w:noProof/>
          </w:rPr>
          <w:t>http://www.recoveryhumanface.org/e-discussion-2013/archives/07-2014</w:t>
        </w:r>
      </w:hyperlink>
      <w:r w:rsidRPr="00891F56">
        <w:rPr>
          <w:noProof/>
        </w:rPr>
        <w:t>.</w:t>
      </w:r>
    </w:p>
    <w:p w14:paraId="3A338A5A" w14:textId="77777777" w:rsidR="00891F56" w:rsidRPr="00891F56" w:rsidRDefault="00891F56" w:rsidP="008B42F7">
      <w:pPr>
        <w:pStyle w:val="EndNoteBibliography"/>
        <w:spacing w:line="360" w:lineRule="auto"/>
        <w:ind w:left="720" w:hanging="720"/>
        <w:rPr>
          <w:noProof/>
        </w:rPr>
      </w:pPr>
      <w:r w:rsidRPr="00891F56">
        <w:rPr>
          <w:noProof/>
        </w:rPr>
        <w:t xml:space="preserve">Grimes, William. 2015. "East Asian Financial Regionalism: Why Economic Enhancements Undermine Political Sustainability." </w:t>
      </w:r>
      <w:r w:rsidRPr="00891F56">
        <w:rPr>
          <w:i/>
          <w:noProof/>
        </w:rPr>
        <w:t>Contemporary Politics</w:t>
      </w:r>
      <w:r w:rsidRPr="00891F56">
        <w:rPr>
          <w:noProof/>
        </w:rPr>
        <w:t xml:space="preserve"> 21 (2):145-60.</w:t>
      </w:r>
    </w:p>
    <w:p w14:paraId="67EBE11E" w14:textId="77777777" w:rsidR="00891F56" w:rsidRPr="00891F56" w:rsidRDefault="00891F56" w:rsidP="008B42F7">
      <w:pPr>
        <w:pStyle w:val="EndNoteBibliography"/>
        <w:spacing w:line="360" w:lineRule="auto"/>
        <w:ind w:left="720" w:hanging="720"/>
        <w:rPr>
          <w:noProof/>
        </w:rPr>
      </w:pPr>
      <w:r w:rsidRPr="00891F56">
        <w:rPr>
          <w:noProof/>
        </w:rPr>
        <w:t xml:space="preserve">Güven, Ali Burak. 2012. "The IMF, the World Bank, and the Global Economic Crisis: Exploring Paradigm Continuity." </w:t>
      </w:r>
      <w:r w:rsidRPr="00891F56">
        <w:rPr>
          <w:i/>
          <w:noProof/>
        </w:rPr>
        <w:t>Development and Change</w:t>
      </w:r>
      <w:r w:rsidRPr="00891F56">
        <w:rPr>
          <w:noProof/>
        </w:rPr>
        <w:t xml:space="preserve"> 43 (4):869-98.</w:t>
      </w:r>
    </w:p>
    <w:p w14:paraId="253D6721" w14:textId="77777777" w:rsidR="00891F56" w:rsidRPr="00891F56" w:rsidRDefault="00891F56" w:rsidP="008B42F7">
      <w:pPr>
        <w:pStyle w:val="EndNoteBibliography"/>
        <w:spacing w:line="360" w:lineRule="auto"/>
        <w:ind w:left="720" w:hanging="720"/>
        <w:rPr>
          <w:noProof/>
        </w:rPr>
      </w:pPr>
      <w:r w:rsidRPr="00891F56">
        <w:rPr>
          <w:noProof/>
        </w:rPr>
        <w:t xml:space="preserve">Hayek, Friedrich. 2014[1944]. </w:t>
      </w:r>
      <w:r w:rsidRPr="00891F56">
        <w:rPr>
          <w:i/>
          <w:noProof/>
        </w:rPr>
        <w:t>The Road to Serfdom</w:t>
      </w:r>
      <w:r w:rsidRPr="00891F56">
        <w:rPr>
          <w:noProof/>
        </w:rPr>
        <w:t>. London: Routledge.</w:t>
      </w:r>
    </w:p>
    <w:p w14:paraId="7C1B01D2" w14:textId="77777777" w:rsidR="00891F56" w:rsidRPr="00891F56" w:rsidRDefault="00891F56" w:rsidP="008B42F7">
      <w:pPr>
        <w:pStyle w:val="EndNoteBibliography"/>
        <w:spacing w:line="360" w:lineRule="auto"/>
        <w:ind w:left="720" w:hanging="720"/>
        <w:rPr>
          <w:noProof/>
        </w:rPr>
      </w:pPr>
      <w:r w:rsidRPr="00891F56">
        <w:rPr>
          <w:noProof/>
        </w:rPr>
        <w:t xml:space="preserve">Helleiner, Eric. 2014. </w:t>
      </w:r>
      <w:r w:rsidRPr="00891F56">
        <w:rPr>
          <w:i/>
          <w:noProof/>
        </w:rPr>
        <w:t>The Status Quo Crisis: Global Financial Governance after the 2008 Meltdown</w:t>
      </w:r>
      <w:r w:rsidRPr="00891F56">
        <w:rPr>
          <w:noProof/>
        </w:rPr>
        <w:t>. Oxford: Oxford University Press.</w:t>
      </w:r>
    </w:p>
    <w:p w14:paraId="3194C1FF" w14:textId="77777777" w:rsidR="00891F56" w:rsidRPr="00891F56" w:rsidRDefault="00891F56" w:rsidP="008B42F7">
      <w:pPr>
        <w:pStyle w:val="EndNoteBibliography"/>
        <w:spacing w:line="360" w:lineRule="auto"/>
        <w:ind w:left="720" w:hanging="720"/>
        <w:rPr>
          <w:noProof/>
        </w:rPr>
      </w:pPr>
      <w:r w:rsidRPr="00891F56">
        <w:rPr>
          <w:noProof/>
        </w:rPr>
        <w:t xml:space="preserve">Helleiner, Eric. 2016a. "Incremental Origins of Bretton Woods." In </w:t>
      </w:r>
      <w:r w:rsidRPr="00891F56">
        <w:rPr>
          <w:i/>
          <w:noProof/>
        </w:rPr>
        <w:t>Oxford Handbook of Historical Institutionalism</w:t>
      </w:r>
      <w:r w:rsidRPr="00891F56">
        <w:rPr>
          <w:noProof/>
        </w:rPr>
        <w:t>, edited by Orfeo Fioretos, Tulia G. Falleti and Adam Sheingate, 627-41. Oxford: Oxford University Press.</w:t>
      </w:r>
    </w:p>
    <w:p w14:paraId="23735AA3" w14:textId="77777777" w:rsidR="00891F56" w:rsidRPr="00891F56" w:rsidRDefault="00891F56" w:rsidP="008B42F7">
      <w:pPr>
        <w:pStyle w:val="EndNoteBibliography"/>
        <w:spacing w:line="360" w:lineRule="auto"/>
        <w:ind w:left="720" w:hanging="720"/>
        <w:rPr>
          <w:noProof/>
        </w:rPr>
      </w:pPr>
      <w:r w:rsidRPr="00891F56">
        <w:rPr>
          <w:noProof/>
        </w:rPr>
        <w:t xml:space="preserve">Helleiner, Eric. 2016b. "Legacies of the 2008 Crisis for Global Financial Governance." </w:t>
      </w:r>
      <w:r w:rsidRPr="00891F56">
        <w:rPr>
          <w:i/>
          <w:noProof/>
        </w:rPr>
        <w:t>Global Summitry</w:t>
      </w:r>
      <w:r w:rsidRPr="00891F56">
        <w:rPr>
          <w:noProof/>
        </w:rPr>
        <w:t xml:space="preserve"> 2 (1):1-12.</w:t>
      </w:r>
    </w:p>
    <w:p w14:paraId="203F3847" w14:textId="77777777" w:rsidR="00891F56" w:rsidRPr="00891F56" w:rsidRDefault="00891F56" w:rsidP="008B42F7">
      <w:pPr>
        <w:pStyle w:val="EndNoteBibliography"/>
        <w:spacing w:line="360" w:lineRule="auto"/>
        <w:ind w:left="720" w:hanging="720"/>
        <w:rPr>
          <w:noProof/>
        </w:rPr>
      </w:pPr>
      <w:r w:rsidRPr="00891F56">
        <w:rPr>
          <w:noProof/>
        </w:rPr>
        <w:t xml:space="preserve">Helleiner, Gerald K. 2010. "Towards Realistic Governance Reform in International Financial Institutions." </w:t>
      </w:r>
      <w:r w:rsidRPr="00891F56">
        <w:rPr>
          <w:i/>
          <w:noProof/>
        </w:rPr>
        <w:t>Global Economy Journal</w:t>
      </w:r>
      <w:r w:rsidRPr="00891F56">
        <w:rPr>
          <w:noProof/>
        </w:rPr>
        <w:t xml:space="preserve"> 10 (3):1-4.</w:t>
      </w:r>
    </w:p>
    <w:p w14:paraId="656CA0E0" w14:textId="77777777" w:rsidR="00891F56" w:rsidRPr="00891F56" w:rsidRDefault="00891F56" w:rsidP="008B42F7">
      <w:pPr>
        <w:pStyle w:val="EndNoteBibliography"/>
        <w:spacing w:line="360" w:lineRule="auto"/>
        <w:ind w:left="720" w:hanging="720"/>
        <w:rPr>
          <w:noProof/>
        </w:rPr>
      </w:pPr>
      <w:r w:rsidRPr="00891F56">
        <w:rPr>
          <w:noProof/>
        </w:rPr>
        <w:t xml:space="preserve">Henning, C. Randall. 2018. Regime Complexity and the Institutions of Crisis and Development Finance, submitted for consideration in special issue of </w:t>
      </w:r>
      <w:r w:rsidRPr="00891F56">
        <w:rPr>
          <w:i/>
          <w:noProof/>
        </w:rPr>
        <w:t>Development and Change</w:t>
      </w:r>
      <w:r w:rsidRPr="00891F56">
        <w:rPr>
          <w:noProof/>
        </w:rPr>
        <w:t>.</w:t>
      </w:r>
    </w:p>
    <w:p w14:paraId="1548B71E" w14:textId="77777777" w:rsidR="00891F56" w:rsidRPr="00891F56" w:rsidRDefault="00891F56" w:rsidP="008B42F7">
      <w:pPr>
        <w:pStyle w:val="EndNoteBibliography"/>
        <w:spacing w:line="360" w:lineRule="auto"/>
        <w:ind w:left="720" w:hanging="720"/>
        <w:rPr>
          <w:noProof/>
        </w:rPr>
      </w:pPr>
      <w:r w:rsidRPr="00891F56">
        <w:rPr>
          <w:noProof/>
        </w:rPr>
        <w:t xml:space="preserve">Hirschman, Albert O. 1967. </w:t>
      </w:r>
      <w:r w:rsidRPr="00891F56">
        <w:rPr>
          <w:i/>
          <w:noProof/>
        </w:rPr>
        <w:t>Development Projects Observed</w:t>
      </w:r>
      <w:r w:rsidRPr="00891F56">
        <w:rPr>
          <w:noProof/>
        </w:rPr>
        <w:t>. Washington, DC: Brookings Institution.</w:t>
      </w:r>
    </w:p>
    <w:p w14:paraId="4A2634C2" w14:textId="77777777" w:rsidR="00891F56" w:rsidRPr="00891F56" w:rsidRDefault="00891F56" w:rsidP="008B42F7">
      <w:pPr>
        <w:pStyle w:val="EndNoteBibliography"/>
        <w:spacing w:line="360" w:lineRule="auto"/>
        <w:ind w:left="720" w:hanging="720"/>
        <w:rPr>
          <w:noProof/>
        </w:rPr>
      </w:pPr>
      <w:r w:rsidRPr="00891F56">
        <w:rPr>
          <w:noProof/>
        </w:rPr>
        <w:t xml:space="preserve">Hirschman, Albert O. 1969[1958]. </w:t>
      </w:r>
      <w:r w:rsidRPr="00891F56">
        <w:rPr>
          <w:i/>
          <w:noProof/>
        </w:rPr>
        <w:t>The Strategy of Economic Development</w:t>
      </w:r>
      <w:r w:rsidRPr="00891F56">
        <w:rPr>
          <w:noProof/>
        </w:rPr>
        <w:t>. New Haven, CT: Yale University Press.</w:t>
      </w:r>
    </w:p>
    <w:p w14:paraId="6A17CC99" w14:textId="77777777" w:rsidR="00891F56" w:rsidRPr="00891F56" w:rsidRDefault="00891F56" w:rsidP="008B42F7">
      <w:pPr>
        <w:pStyle w:val="EndNoteBibliography"/>
        <w:spacing w:line="360" w:lineRule="auto"/>
        <w:ind w:left="720" w:hanging="720"/>
        <w:rPr>
          <w:noProof/>
        </w:rPr>
      </w:pPr>
      <w:r w:rsidRPr="00891F56">
        <w:rPr>
          <w:noProof/>
        </w:rPr>
        <w:t xml:space="preserve">Hirschman, Albert O. 1970. </w:t>
      </w:r>
      <w:r w:rsidRPr="00891F56">
        <w:rPr>
          <w:i/>
          <w:noProof/>
        </w:rPr>
        <w:t>Exit, Voice, and Loyalty: Responses to Decline in Firms, Organizations and States</w:t>
      </w:r>
      <w:r w:rsidRPr="00891F56">
        <w:rPr>
          <w:noProof/>
        </w:rPr>
        <w:t>. Cambridge, MA: Harvard University Press.</w:t>
      </w:r>
    </w:p>
    <w:p w14:paraId="01602C6E" w14:textId="77777777" w:rsidR="00891F56" w:rsidRPr="00891F56" w:rsidRDefault="00891F56" w:rsidP="008B42F7">
      <w:pPr>
        <w:pStyle w:val="EndNoteBibliography"/>
        <w:spacing w:line="360" w:lineRule="auto"/>
        <w:ind w:left="720" w:hanging="720"/>
        <w:rPr>
          <w:noProof/>
        </w:rPr>
      </w:pPr>
      <w:r w:rsidRPr="00891F56">
        <w:rPr>
          <w:noProof/>
        </w:rPr>
        <w:t xml:space="preserve">Hirschman, Albert O. 1980[1945]. </w:t>
      </w:r>
      <w:r w:rsidRPr="00891F56">
        <w:rPr>
          <w:i/>
          <w:noProof/>
        </w:rPr>
        <w:t>National Power and the Structure of Foreign Trade</w:t>
      </w:r>
      <w:r w:rsidRPr="00891F56">
        <w:rPr>
          <w:noProof/>
        </w:rPr>
        <w:t>. v-xii, Berkeley: University of California Press. Preface to the Expanded Paperback Edition.</w:t>
      </w:r>
    </w:p>
    <w:p w14:paraId="162720FA" w14:textId="77777777" w:rsidR="00891F56" w:rsidRPr="00891F56" w:rsidRDefault="00891F56" w:rsidP="008B42F7">
      <w:pPr>
        <w:pStyle w:val="EndNoteBibliography"/>
        <w:spacing w:line="360" w:lineRule="auto"/>
        <w:ind w:left="720" w:hanging="720"/>
        <w:rPr>
          <w:noProof/>
        </w:rPr>
      </w:pPr>
      <w:r w:rsidRPr="00891F56">
        <w:rPr>
          <w:noProof/>
        </w:rPr>
        <w:t xml:space="preserve">Hirschman, Albert O. 2013[1968]. "Underdevelopment, Obstacles to the Perception of Change, and Leadership." In </w:t>
      </w:r>
      <w:r w:rsidRPr="00891F56">
        <w:rPr>
          <w:i/>
          <w:noProof/>
        </w:rPr>
        <w:t>The Essential Hirschman</w:t>
      </w:r>
      <w:r w:rsidRPr="00891F56">
        <w:rPr>
          <w:noProof/>
        </w:rPr>
        <w:t>, edited by Jeremy Adelman, 35-48. Princeton, NJ: Princeton University Press.</w:t>
      </w:r>
    </w:p>
    <w:p w14:paraId="6C5963CC" w14:textId="77777777" w:rsidR="00891F56" w:rsidRPr="00891F56" w:rsidRDefault="00891F56" w:rsidP="008B42F7">
      <w:pPr>
        <w:pStyle w:val="EndNoteBibliography"/>
        <w:spacing w:line="360" w:lineRule="auto"/>
        <w:ind w:left="720" w:hanging="720"/>
        <w:rPr>
          <w:noProof/>
        </w:rPr>
      </w:pPr>
      <w:r w:rsidRPr="00891F56">
        <w:rPr>
          <w:noProof/>
        </w:rPr>
        <w:t xml:space="preserve">Hirschman, Albert O. 2013[1971]. "Political Economics and Possibilism." In </w:t>
      </w:r>
      <w:r w:rsidRPr="00891F56">
        <w:rPr>
          <w:i/>
          <w:noProof/>
        </w:rPr>
        <w:t>The Essential Hirschman</w:t>
      </w:r>
      <w:r w:rsidRPr="00891F56">
        <w:rPr>
          <w:noProof/>
        </w:rPr>
        <w:t>, edited by Jeremy Adelman, 1-34. Princeton, NJ: Princeton University Press.</w:t>
      </w:r>
    </w:p>
    <w:p w14:paraId="3750B154" w14:textId="72692C4C" w:rsidR="00891F56" w:rsidRPr="00891F56" w:rsidRDefault="00891F56" w:rsidP="008B42F7">
      <w:pPr>
        <w:pStyle w:val="EndNoteBibliography"/>
        <w:spacing w:line="360" w:lineRule="auto"/>
        <w:ind w:left="720" w:hanging="720"/>
        <w:rPr>
          <w:noProof/>
        </w:rPr>
      </w:pPr>
      <w:r w:rsidRPr="00891F56">
        <w:rPr>
          <w:noProof/>
        </w:rPr>
        <w:t xml:space="preserve">Humphrey, Chris. 2015. Development Revolution or Bretton Woods Revisited? ODI Working Paper No. 418, London: Overseas Development Institute, April. </w:t>
      </w:r>
      <w:hyperlink r:id="rId18" w:history="1">
        <w:r w:rsidRPr="00891F56">
          <w:rPr>
            <w:rStyle w:val="Hyperlink"/>
            <w:rFonts w:asciiTheme="minorHAnsi" w:hAnsiTheme="minorHAnsi"/>
            <w:noProof/>
          </w:rPr>
          <w:t>https://www.odi.org/sites/odi.org.uk/files/odi-assets/publications-opinion-files/9615.pdf</w:t>
        </w:r>
      </w:hyperlink>
      <w:r w:rsidRPr="00891F56">
        <w:rPr>
          <w:noProof/>
        </w:rPr>
        <w:t>.</w:t>
      </w:r>
    </w:p>
    <w:p w14:paraId="4B02D217" w14:textId="77777777" w:rsidR="00891F56" w:rsidRPr="00891F56" w:rsidRDefault="00891F56" w:rsidP="008B42F7">
      <w:pPr>
        <w:pStyle w:val="EndNoteBibliography"/>
        <w:spacing w:line="360" w:lineRule="auto"/>
        <w:ind w:left="720" w:hanging="720"/>
        <w:rPr>
          <w:noProof/>
        </w:rPr>
      </w:pPr>
      <w:r w:rsidRPr="00891F56">
        <w:rPr>
          <w:noProof/>
        </w:rPr>
        <w:t xml:space="preserve">Huotari, Mikko, and Thilo Hanemann. 2014. "Emerging Powers and Change in the Global Financial Order." </w:t>
      </w:r>
      <w:r w:rsidRPr="00891F56">
        <w:rPr>
          <w:i/>
          <w:noProof/>
        </w:rPr>
        <w:t>Global Policy</w:t>
      </w:r>
      <w:r w:rsidRPr="00891F56">
        <w:rPr>
          <w:noProof/>
        </w:rPr>
        <w:t xml:space="preserve"> 5 (3):298-310. doi: 10.1111/1758-5899.12133.</w:t>
      </w:r>
    </w:p>
    <w:p w14:paraId="57693A33" w14:textId="77777777" w:rsidR="00891F56" w:rsidRPr="00891F56" w:rsidRDefault="00891F56" w:rsidP="008B42F7">
      <w:pPr>
        <w:pStyle w:val="EndNoteBibliography"/>
        <w:spacing w:line="360" w:lineRule="auto"/>
        <w:ind w:left="720" w:hanging="720"/>
        <w:rPr>
          <w:noProof/>
        </w:rPr>
      </w:pPr>
      <w:r w:rsidRPr="00891F56">
        <w:rPr>
          <w:noProof/>
        </w:rPr>
        <w:t xml:space="preserve">Hurrell, Andrew. 2018. "Beyond the BRICS: Power, Pluralism, and the Future of Global Order." </w:t>
      </w:r>
      <w:r w:rsidRPr="00891F56">
        <w:rPr>
          <w:i/>
          <w:noProof/>
        </w:rPr>
        <w:t>Ethics &amp; International Affairs</w:t>
      </w:r>
      <w:r w:rsidRPr="00891F56">
        <w:rPr>
          <w:noProof/>
        </w:rPr>
        <w:t xml:space="preserve"> 32 (1):89-101.</w:t>
      </w:r>
    </w:p>
    <w:p w14:paraId="78CC9606" w14:textId="79436B88" w:rsidR="00891F56" w:rsidRPr="00891F56" w:rsidRDefault="00891F56" w:rsidP="008B42F7">
      <w:pPr>
        <w:pStyle w:val="EndNoteBibliography"/>
        <w:spacing w:line="360" w:lineRule="auto"/>
        <w:ind w:left="720" w:hanging="720"/>
        <w:rPr>
          <w:noProof/>
        </w:rPr>
      </w:pPr>
      <w:r w:rsidRPr="00891F56">
        <w:rPr>
          <w:noProof/>
        </w:rPr>
        <w:t xml:space="preserve">IMF. 2017a. Adequacy of the Global Financial Safety Net--Proposal for a New Policy Coordination Instrument. IMF Policy Paper, Washington, DC: International Monetary Fund, July 26. </w:t>
      </w:r>
      <w:hyperlink r:id="rId19" w:history="1">
        <w:r w:rsidRPr="00891F56">
          <w:rPr>
            <w:rStyle w:val="Hyperlink"/>
            <w:rFonts w:asciiTheme="minorHAnsi" w:hAnsiTheme="minorHAnsi"/>
            <w:noProof/>
          </w:rPr>
          <w:t>https://www.imf.org/en/Publications/Policy-Papers/Issues/2017/07/26/pp072617-adequacy-of-the-global-financial-safety-net</w:t>
        </w:r>
      </w:hyperlink>
      <w:r w:rsidRPr="00891F56">
        <w:rPr>
          <w:noProof/>
        </w:rPr>
        <w:t>.</w:t>
      </w:r>
    </w:p>
    <w:p w14:paraId="30DCB0A9" w14:textId="4725E050" w:rsidR="00891F56" w:rsidRPr="00891F56" w:rsidRDefault="00891F56" w:rsidP="008B42F7">
      <w:pPr>
        <w:pStyle w:val="EndNoteBibliography"/>
        <w:spacing w:line="360" w:lineRule="auto"/>
        <w:ind w:left="720" w:hanging="720"/>
        <w:rPr>
          <w:noProof/>
        </w:rPr>
      </w:pPr>
      <w:r w:rsidRPr="00891F56">
        <w:rPr>
          <w:noProof/>
        </w:rPr>
        <w:t xml:space="preserve">IMF. 2017b. Collaboration Between Regional Financing Arrangements and the IMF. Washington, DC: International Monetary Fund, June 29. </w:t>
      </w:r>
      <w:hyperlink r:id="rId20" w:history="1">
        <w:r w:rsidRPr="00891F56">
          <w:rPr>
            <w:rStyle w:val="Hyperlink"/>
            <w:rFonts w:asciiTheme="minorHAnsi" w:hAnsiTheme="minorHAnsi"/>
            <w:noProof/>
          </w:rPr>
          <w:t>https://www.imf.org/~/media/Files/Publications/PP/2017/pp073117-collaboration-between-regional-financing-arrangements-and-the-imf.ashx</w:t>
        </w:r>
      </w:hyperlink>
      <w:r w:rsidRPr="00891F56">
        <w:rPr>
          <w:noProof/>
        </w:rPr>
        <w:t>.</w:t>
      </w:r>
    </w:p>
    <w:p w14:paraId="4FE8A580" w14:textId="77777777" w:rsidR="00891F56" w:rsidRPr="00891F56" w:rsidRDefault="00891F56" w:rsidP="008B42F7">
      <w:pPr>
        <w:pStyle w:val="EndNoteBibliography"/>
        <w:spacing w:line="360" w:lineRule="auto"/>
        <w:ind w:left="720" w:hanging="720"/>
        <w:rPr>
          <w:noProof/>
        </w:rPr>
      </w:pPr>
      <w:r w:rsidRPr="00891F56">
        <w:rPr>
          <w:noProof/>
        </w:rPr>
        <w:t xml:space="preserve">Kawai, Masahiro, and Domenico Lombardi. 2012. "Regional Financial Arrangements Are Reshaping the International Financial Architecture and Helping Global Financial Stability." </w:t>
      </w:r>
      <w:r w:rsidRPr="00891F56">
        <w:rPr>
          <w:i/>
          <w:noProof/>
        </w:rPr>
        <w:t>Finance and Development</w:t>
      </w:r>
      <w:r w:rsidRPr="00891F56">
        <w:rPr>
          <w:noProof/>
        </w:rPr>
        <w:t xml:space="preserve"> 49 (3):23-25.</w:t>
      </w:r>
    </w:p>
    <w:p w14:paraId="12D5CACE" w14:textId="77777777" w:rsidR="00891F56" w:rsidRPr="00891F56" w:rsidRDefault="00891F56" w:rsidP="008B42F7">
      <w:pPr>
        <w:pStyle w:val="EndNoteBibliography"/>
        <w:spacing w:line="360" w:lineRule="auto"/>
        <w:ind w:left="720" w:hanging="720"/>
        <w:rPr>
          <w:noProof/>
        </w:rPr>
      </w:pPr>
      <w:r w:rsidRPr="00891F56">
        <w:rPr>
          <w:noProof/>
        </w:rPr>
        <w:t xml:space="preserve">Kentikelenis, Alexander, Thomas Stubbs, and Lawrence King. 2016. "IMF Conditionality and Development Policy Space, 1985–2014." </w:t>
      </w:r>
      <w:r w:rsidRPr="00891F56">
        <w:rPr>
          <w:i/>
          <w:noProof/>
        </w:rPr>
        <w:t>Review of International Political Economy</w:t>
      </w:r>
      <w:r w:rsidRPr="00891F56">
        <w:rPr>
          <w:noProof/>
        </w:rPr>
        <w:t xml:space="preserve"> 23 (4):543-82.</w:t>
      </w:r>
    </w:p>
    <w:p w14:paraId="6021F6AF" w14:textId="0B7CBF78" w:rsidR="00891F56" w:rsidRPr="00891F56" w:rsidRDefault="00891F56" w:rsidP="008B42F7">
      <w:pPr>
        <w:pStyle w:val="EndNoteBibliography"/>
        <w:spacing w:line="360" w:lineRule="auto"/>
        <w:ind w:left="720" w:hanging="720"/>
        <w:rPr>
          <w:noProof/>
        </w:rPr>
      </w:pPr>
      <w:r w:rsidRPr="00891F56">
        <w:rPr>
          <w:noProof/>
        </w:rPr>
        <w:t xml:space="preserve">Kozul-Wright, Richard, and Daniel Poon. 2015. "Development Finance with Chinese Characteristics?" </w:t>
      </w:r>
      <w:r w:rsidRPr="00891F56">
        <w:rPr>
          <w:i/>
          <w:noProof/>
        </w:rPr>
        <w:t>Project Syndicate</w:t>
      </w:r>
      <w:r w:rsidRPr="00891F56">
        <w:rPr>
          <w:noProof/>
        </w:rPr>
        <w:t xml:space="preserve">, May 20. </w:t>
      </w:r>
      <w:hyperlink r:id="rId21" w:history="1">
        <w:r w:rsidRPr="00891F56">
          <w:rPr>
            <w:rStyle w:val="Hyperlink"/>
            <w:rFonts w:asciiTheme="minorHAnsi" w:hAnsiTheme="minorHAnsi"/>
            <w:noProof/>
          </w:rPr>
          <w:t>http://www.project-syndicate.org/commentary/china-silk-road-fund-development-financing-by-richard-kozul-wright-and-daniel-poon-2015-05</w:t>
        </w:r>
      </w:hyperlink>
      <w:r w:rsidRPr="00891F56">
        <w:rPr>
          <w:noProof/>
        </w:rPr>
        <w:t>.</w:t>
      </w:r>
    </w:p>
    <w:p w14:paraId="29F5290E" w14:textId="77777777" w:rsidR="00891F56" w:rsidRPr="00891F56" w:rsidRDefault="00891F56" w:rsidP="008B42F7">
      <w:pPr>
        <w:pStyle w:val="EndNoteBibliography"/>
        <w:spacing w:line="360" w:lineRule="auto"/>
        <w:ind w:left="720" w:hanging="720"/>
        <w:rPr>
          <w:noProof/>
        </w:rPr>
      </w:pPr>
      <w:r w:rsidRPr="00891F56">
        <w:rPr>
          <w:noProof/>
        </w:rPr>
        <w:t xml:space="preserve">Kring, Wiilam, and William Grimes. 2018. Leaving the Nest: The Rise of Regional Financial Arrangements and the Future of Global Governance, submitted for consideration in special issue of </w:t>
      </w:r>
      <w:r w:rsidRPr="00891F56">
        <w:rPr>
          <w:i/>
          <w:noProof/>
        </w:rPr>
        <w:t>Development and Change</w:t>
      </w:r>
      <w:r w:rsidRPr="00891F56">
        <w:rPr>
          <w:noProof/>
        </w:rPr>
        <w:t>.</w:t>
      </w:r>
    </w:p>
    <w:p w14:paraId="2FA2ACE4" w14:textId="77777777" w:rsidR="00891F56" w:rsidRPr="00891F56" w:rsidRDefault="00891F56" w:rsidP="008B42F7">
      <w:pPr>
        <w:pStyle w:val="EndNoteBibliography"/>
        <w:spacing w:line="360" w:lineRule="auto"/>
        <w:ind w:left="720" w:hanging="720"/>
        <w:rPr>
          <w:noProof/>
        </w:rPr>
      </w:pPr>
      <w:r w:rsidRPr="00891F56">
        <w:rPr>
          <w:noProof/>
        </w:rPr>
        <w:t xml:space="preserve">Lindblom, Charles. 1959. "The Science of 'Muddling Through'." </w:t>
      </w:r>
      <w:r w:rsidRPr="00891F56">
        <w:rPr>
          <w:i/>
          <w:noProof/>
        </w:rPr>
        <w:t>Public Administration Review</w:t>
      </w:r>
      <w:r w:rsidRPr="00891F56">
        <w:rPr>
          <w:noProof/>
        </w:rPr>
        <w:t xml:space="preserve"> 19 (2):79-88.</w:t>
      </w:r>
    </w:p>
    <w:p w14:paraId="4E522F41" w14:textId="502B1C13" w:rsidR="00891F56" w:rsidRPr="00891F56" w:rsidRDefault="00891F56" w:rsidP="008B42F7">
      <w:pPr>
        <w:pStyle w:val="EndNoteBibliography"/>
        <w:spacing w:line="360" w:lineRule="auto"/>
        <w:ind w:left="720" w:hanging="720"/>
        <w:rPr>
          <w:noProof/>
        </w:rPr>
      </w:pPr>
      <w:r w:rsidRPr="00891F56">
        <w:rPr>
          <w:noProof/>
        </w:rPr>
        <w:t xml:space="preserve">McDowell, Daniel. 2018a. "Emergent International Liquidity Network: Central Bank Cooperation after the Global Financial Crisis." </w:t>
      </w:r>
      <w:r w:rsidRPr="00891F56">
        <w:rPr>
          <w:i/>
          <w:noProof/>
        </w:rPr>
        <w:t>Journal of International Relations and Development</w:t>
      </w:r>
      <w:r w:rsidRPr="00891F56">
        <w:rPr>
          <w:noProof/>
        </w:rPr>
        <w:t xml:space="preserve">, forthcoming. </w:t>
      </w:r>
      <w:hyperlink r:id="rId22" w:history="1">
        <w:r w:rsidRPr="00891F56">
          <w:rPr>
            <w:rStyle w:val="Hyperlink"/>
            <w:rFonts w:asciiTheme="minorHAnsi" w:hAnsiTheme="minorHAnsi"/>
            <w:noProof/>
          </w:rPr>
          <w:t>https://doi.org/10.1057/s41268-017-0106-0</w:t>
        </w:r>
      </w:hyperlink>
      <w:r w:rsidRPr="00891F56">
        <w:rPr>
          <w:noProof/>
        </w:rPr>
        <w:t>.</w:t>
      </w:r>
    </w:p>
    <w:p w14:paraId="653E4A8A" w14:textId="77777777" w:rsidR="00891F56" w:rsidRPr="00891F56" w:rsidRDefault="00891F56" w:rsidP="008B42F7">
      <w:pPr>
        <w:pStyle w:val="EndNoteBibliography"/>
        <w:spacing w:line="360" w:lineRule="auto"/>
        <w:ind w:left="720" w:hanging="720"/>
        <w:rPr>
          <w:noProof/>
        </w:rPr>
      </w:pPr>
      <w:r w:rsidRPr="00891F56">
        <w:rPr>
          <w:noProof/>
        </w:rPr>
        <w:t xml:space="preserve">McDowell, Daniel. 2018b. The (Ineffective) Financial Statecraft of China's Bilateral Swap Agreements, submitted for consideration in special issue of </w:t>
      </w:r>
      <w:r w:rsidRPr="00891F56">
        <w:rPr>
          <w:i/>
          <w:noProof/>
        </w:rPr>
        <w:t>Development and Change</w:t>
      </w:r>
      <w:r w:rsidRPr="00891F56">
        <w:rPr>
          <w:noProof/>
        </w:rPr>
        <w:t>.</w:t>
      </w:r>
    </w:p>
    <w:p w14:paraId="5802403A" w14:textId="6888124A" w:rsidR="00891F56" w:rsidRPr="00891F56" w:rsidRDefault="00891F56" w:rsidP="008B42F7">
      <w:pPr>
        <w:pStyle w:val="EndNoteBibliography"/>
        <w:spacing w:line="360" w:lineRule="auto"/>
        <w:ind w:left="720" w:hanging="720"/>
        <w:rPr>
          <w:noProof/>
        </w:rPr>
      </w:pPr>
      <w:r w:rsidRPr="00891F56">
        <w:rPr>
          <w:noProof/>
        </w:rPr>
        <w:t xml:space="preserve">McKay, Julie, Ulrich Volz, and Regine Wölfinger. 2011. "Regional Financing Arrangements and the Stability of the International Monetary System." </w:t>
      </w:r>
      <w:r w:rsidRPr="00891F56">
        <w:rPr>
          <w:i/>
          <w:noProof/>
        </w:rPr>
        <w:t>Journal of Globalization and Development</w:t>
      </w:r>
      <w:r w:rsidRPr="00891F56">
        <w:rPr>
          <w:noProof/>
        </w:rPr>
        <w:t xml:space="preserve"> 2 (1):Article 5. doi: </w:t>
      </w:r>
      <w:hyperlink r:id="rId23" w:history="1">
        <w:r w:rsidRPr="00891F56">
          <w:rPr>
            <w:rStyle w:val="Hyperlink"/>
            <w:rFonts w:asciiTheme="minorHAnsi" w:hAnsiTheme="minorHAnsi"/>
            <w:noProof/>
          </w:rPr>
          <w:t>https://doi.org/10.2202/1948-1837.1139,</w:t>
        </w:r>
      </w:hyperlink>
      <w:r w:rsidRPr="00891F56">
        <w:rPr>
          <w:noProof/>
        </w:rPr>
        <w:t>.</w:t>
      </w:r>
    </w:p>
    <w:p w14:paraId="2957A93D" w14:textId="794E0BE5" w:rsidR="00891F56" w:rsidRPr="00891F56" w:rsidRDefault="00891F56" w:rsidP="008B42F7">
      <w:pPr>
        <w:pStyle w:val="EndNoteBibliography"/>
        <w:spacing w:line="360" w:lineRule="auto"/>
        <w:ind w:left="720" w:hanging="720"/>
        <w:rPr>
          <w:noProof/>
        </w:rPr>
      </w:pPr>
      <w:r w:rsidRPr="00891F56">
        <w:rPr>
          <w:noProof/>
        </w:rPr>
        <w:t xml:space="preserve">Miyoshi, Toshiyuki. 2013. Stocktaking the Fund's Engagement with Regional Financing Arrangements. Washington, DC: International Monetary Fund, April 11. </w:t>
      </w:r>
      <w:hyperlink r:id="rId24" w:history="1">
        <w:r w:rsidRPr="00891F56">
          <w:rPr>
            <w:rStyle w:val="Hyperlink"/>
            <w:rFonts w:asciiTheme="minorHAnsi" w:hAnsiTheme="minorHAnsi"/>
            <w:noProof/>
          </w:rPr>
          <w:t>https://www.imf.org/external/np/pp/eng/2013/041113b.pdf</w:t>
        </w:r>
      </w:hyperlink>
      <w:r w:rsidRPr="00891F56">
        <w:rPr>
          <w:noProof/>
        </w:rPr>
        <w:t>.</w:t>
      </w:r>
    </w:p>
    <w:p w14:paraId="1B03849D" w14:textId="4F297C84" w:rsidR="00891F56" w:rsidRPr="00891F56" w:rsidRDefault="00891F56" w:rsidP="008B42F7">
      <w:pPr>
        <w:pStyle w:val="EndNoteBibliography"/>
        <w:spacing w:line="360" w:lineRule="auto"/>
        <w:ind w:left="720" w:hanging="720"/>
        <w:rPr>
          <w:noProof/>
        </w:rPr>
      </w:pPr>
      <w:r w:rsidRPr="00891F56">
        <w:rPr>
          <w:noProof/>
        </w:rPr>
        <w:t xml:space="preserve">Mühlich, Laurissa , and Barbara Fritz. 2016. Safety for Whom? The Scattered Global Financial Safety Net and the Role of Regional Financial Arrangements. KFG Working Paper No. 75, Berlin: Freie Universität Berlin, September. </w:t>
      </w:r>
      <w:hyperlink r:id="rId25" w:history="1">
        <w:r w:rsidRPr="00891F56">
          <w:rPr>
            <w:rStyle w:val="Hyperlink"/>
            <w:rFonts w:asciiTheme="minorHAnsi" w:hAnsiTheme="minorHAnsi"/>
            <w:noProof/>
          </w:rPr>
          <w:t>http://www.polsoz.fu-berlin.de/en/v/transformeurope/news/allgemeines/KFG-Working-Paper-No-75.html</w:t>
        </w:r>
      </w:hyperlink>
      <w:r w:rsidRPr="00891F56">
        <w:rPr>
          <w:noProof/>
        </w:rPr>
        <w:t>.</w:t>
      </w:r>
    </w:p>
    <w:p w14:paraId="2CEB5474" w14:textId="77777777" w:rsidR="00891F56" w:rsidRPr="00891F56" w:rsidRDefault="00891F56" w:rsidP="008B42F7">
      <w:pPr>
        <w:pStyle w:val="EndNoteBibliography"/>
        <w:spacing w:line="360" w:lineRule="auto"/>
        <w:ind w:left="720" w:hanging="720"/>
        <w:rPr>
          <w:noProof/>
        </w:rPr>
      </w:pPr>
      <w:r w:rsidRPr="00891F56">
        <w:rPr>
          <w:noProof/>
        </w:rPr>
        <w:t xml:space="preserve">Ocampo, José Antonio. 2006. "Regional Financial Cooperation: Experiences and Challenges." In </w:t>
      </w:r>
      <w:r w:rsidRPr="00891F56">
        <w:rPr>
          <w:i/>
          <w:noProof/>
        </w:rPr>
        <w:t>Regional Financial Cooperation</w:t>
      </w:r>
      <w:r w:rsidRPr="00891F56">
        <w:rPr>
          <w:noProof/>
        </w:rPr>
        <w:t>, edited by José Antonio Ocampo, 1-39. Washington, DC: Brookings Institution.</w:t>
      </w:r>
    </w:p>
    <w:p w14:paraId="41F4CC5D" w14:textId="77777777" w:rsidR="00891F56" w:rsidRPr="00891F56" w:rsidRDefault="00891F56" w:rsidP="008B42F7">
      <w:pPr>
        <w:pStyle w:val="EndNoteBibliography"/>
        <w:spacing w:line="360" w:lineRule="auto"/>
        <w:ind w:left="720" w:hanging="720"/>
        <w:rPr>
          <w:noProof/>
        </w:rPr>
      </w:pPr>
      <w:r w:rsidRPr="00891F56">
        <w:rPr>
          <w:noProof/>
        </w:rPr>
        <w:t xml:space="preserve">Ocampo, José Antonio. 2015. "FLAR and Its Role in the Regional and International Financial Architecture." In </w:t>
      </w:r>
      <w:r w:rsidRPr="00891F56">
        <w:rPr>
          <w:i/>
          <w:noProof/>
        </w:rPr>
        <w:t>Building a Latin American Reserve Fund: 35 Years of FLAR</w:t>
      </w:r>
      <w:r w:rsidRPr="00891F56">
        <w:rPr>
          <w:noProof/>
        </w:rPr>
        <w:t>, edited by Guillermo Perry, 155-74. Bogotá: Latin American Reserve Fund.</w:t>
      </w:r>
    </w:p>
    <w:p w14:paraId="23C590F9" w14:textId="77777777" w:rsidR="00891F56" w:rsidRPr="00891F56" w:rsidRDefault="00891F56" w:rsidP="008B42F7">
      <w:pPr>
        <w:pStyle w:val="EndNoteBibliography"/>
        <w:spacing w:line="360" w:lineRule="auto"/>
        <w:ind w:left="720" w:hanging="720"/>
        <w:rPr>
          <w:noProof/>
        </w:rPr>
      </w:pPr>
      <w:r w:rsidRPr="00891F56">
        <w:rPr>
          <w:noProof/>
        </w:rPr>
        <w:t xml:space="preserve">Ocampo, José Antonio. 2017. </w:t>
      </w:r>
      <w:r w:rsidRPr="00891F56">
        <w:rPr>
          <w:i/>
          <w:noProof/>
        </w:rPr>
        <w:t>Resetting the International Monetary (Non)system</w:t>
      </w:r>
      <w:r w:rsidRPr="00891F56">
        <w:rPr>
          <w:noProof/>
        </w:rPr>
        <w:t>: Oxford University Press.</w:t>
      </w:r>
    </w:p>
    <w:p w14:paraId="7FBFE8C2" w14:textId="3FAFB3CF" w:rsidR="00891F56" w:rsidRPr="00891F56" w:rsidRDefault="00891F56" w:rsidP="008B42F7">
      <w:pPr>
        <w:pStyle w:val="EndNoteBibliography"/>
        <w:spacing w:line="360" w:lineRule="auto"/>
        <w:ind w:left="720" w:hanging="720"/>
        <w:rPr>
          <w:noProof/>
        </w:rPr>
      </w:pPr>
      <w:r w:rsidRPr="00891F56">
        <w:rPr>
          <w:noProof/>
        </w:rPr>
        <w:t xml:space="preserve">Parker, George, Tony Barber, and Daniel Dombey. 2008. "European Call for 'Bretton Woods II'." </w:t>
      </w:r>
      <w:r w:rsidRPr="00891F56">
        <w:rPr>
          <w:i/>
          <w:noProof/>
        </w:rPr>
        <w:t>Financial Times</w:t>
      </w:r>
      <w:r w:rsidRPr="00891F56">
        <w:rPr>
          <w:noProof/>
        </w:rPr>
        <w:t xml:space="preserve">, October 16. </w:t>
      </w:r>
      <w:hyperlink r:id="rId26" w:anchor="axzz3ViaP9QQb" w:history="1">
        <w:r w:rsidRPr="00891F56">
          <w:rPr>
            <w:rStyle w:val="Hyperlink"/>
            <w:rFonts w:asciiTheme="minorHAnsi" w:hAnsiTheme="minorHAnsi"/>
            <w:noProof/>
          </w:rPr>
          <w:t>http://www.ft.com/intl/cms/s/0/7cc16b54-9b19-11dd-a653-000077b07658.html?siteedition=intl - axzz3ViaP9QQb</w:t>
        </w:r>
      </w:hyperlink>
      <w:r w:rsidRPr="00891F56">
        <w:rPr>
          <w:noProof/>
        </w:rPr>
        <w:t>.</w:t>
      </w:r>
    </w:p>
    <w:p w14:paraId="7CE7C344" w14:textId="4EBE1BFB" w:rsidR="00891F56" w:rsidRPr="00891F56" w:rsidRDefault="00891F56" w:rsidP="008B42F7">
      <w:pPr>
        <w:pStyle w:val="EndNoteBibliography"/>
        <w:spacing w:line="360" w:lineRule="auto"/>
        <w:ind w:left="720" w:hanging="720"/>
        <w:rPr>
          <w:noProof/>
        </w:rPr>
      </w:pPr>
      <w:r w:rsidRPr="00891F56">
        <w:rPr>
          <w:noProof/>
        </w:rPr>
        <w:t xml:space="preserve">Peruffo, Luiza, and Daniela Magalhães Prates. 2016. "What Is Left of the Rise of the South: Sceptical Prospects for Multipolarity." </w:t>
      </w:r>
      <w:r w:rsidRPr="00891F56">
        <w:rPr>
          <w:i/>
          <w:noProof/>
        </w:rPr>
        <w:t>Bretton Woods Observer</w:t>
      </w:r>
      <w:r w:rsidRPr="00891F56">
        <w:rPr>
          <w:noProof/>
        </w:rPr>
        <w:t xml:space="preserve">, April 5. </w:t>
      </w:r>
      <w:hyperlink r:id="rId27" w:history="1">
        <w:r w:rsidRPr="00891F56">
          <w:rPr>
            <w:rStyle w:val="Hyperlink"/>
            <w:rFonts w:asciiTheme="minorHAnsi" w:hAnsiTheme="minorHAnsi"/>
            <w:noProof/>
          </w:rPr>
          <w:t>http://www.brettonwoodsproject.org/2016/04/what-is-left-of-the-rise-of-the-south-sceptical-prospects-for-multipolarity/</w:t>
        </w:r>
      </w:hyperlink>
      <w:r w:rsidRPr="00891F56">
        <w:rPr>
          <w:noProof/>
        </w:rPr>
        <w:t>.</w:t>
      </w:r>
    </w:p>
    <w:p w14:paraId="0DA5614A" w14:textId="77777777" w:rsidR="00891F56" w:rsidRPr="00891F56" w:rsidRDefault="00891F56" w:rsidP="008B42F7">
      <w:pPr>
        <w:pStyle w:val="EndNoteBibliography"/>
        <w:spacing w:line="360" w:lineRule="auto"/>
        <w:ind w:left="720" w:hanging="720"/>
        <w:rPr>
          <w:noProof/>
        </w:rPr>
      </w:pPr>
      <w:r w:rsidRPr="00891F56">
        <w:rPr>
          <w:noProof/>
        </w:rPr>
        <w:t xml:space="preserve">Popper, Karl R. 1957. </w:t>
      </w:r>
      <w:r w:rsidRPr="00891F56">
        <w:rPr>
          <w:i/>
          <w:noProof/>
        </w:rPr>
        <w:t>The Poverty of Historicism</w:t>
      </w:r>
      <w:r w:rsidRPr="00891F56">
        <w:rPr>
          <w:noProof/>
        </w:rPr>
        <w:t>. Vol. 2. London: Routledge and Kegan Paul.</w:t>
      </w:r>
    </w:p>
    <w:p w14:paraId="39BEBC92" w14:textId="77777777" w:rsidR="00891F56" w:rsidRPr="00891F56" w:rsidRDefault="00891F56" w:rsidP="008B42F7">
      <w:pPr>
        <w:pStyle w:val="EndNoteBibliography"/>
        <w:spacing w:line="360" w:lineRule="auto"/>
        <w:ind w:left="720" w:hanging="720"/>
        <w:rPr>
          <w:noProof/>
        </w:rPr>
      </w:pPr>
      <w:r w:rsidRPr="00891F56">
        <w:rPr>
          <w:noProof/>
        </w:rPr>
        <w:t xml:space="preserve">Ray, Rebecca, and Rohini Kamal. 2018. Can South-South Cooperation Compete? An Analysis of Borrower Representation and Financial Performance of the Development Bank of Latin American and the Islamic Development Bank, submitted for consideration in special issue of </w:t>
      </w:r>
      <w:r w:rsidRPr="00891F56">
        <w:rPr>
          <w:i/>
          <w:noProof/>
        </w:rPr>
        <w:t>Development and Change</w:t>
      </w:r>
      <w:r w:rsidRPr="00891F56">
        <w:rPr>
          <w:noProof/>
        </w:rPr>
        <w:t>.</w:t>
      </w:r>
    </w:p>
    <w:p w14:paraId="75D45EA8" w14:textId="77777777" w:rsidR="00891F56" w:rsidRPr="00891F56" w:rsidRDefault="00891F56" w:rsidP="008B42F7">
      <w:pPr>
        <w:pStyle w:val="EndNoteBibliography"/>
        <w:spacing w:line="360" w:lineRule="auto"/>
        <w:ind w:left="720" w:hanging="720"/>
        <w:rPr>
          <w:noProof/>
        </w:rPr>
      </w:pPr>
      <w:r w:rsidRPr="00891F56">
        <w:rPr>
          <w:noProof/>
        </w:rPr>
        <w:t xml:space="preserve">Rhee, Changyong, Lea Sumulong, and Shahin Vallée. 2013. "Global and Regional Financial Safety Nets: Lessons from Europe and Asia." In </w:t>
      </w:r>
      <w:r w:rsidRPr="00891F56">
        <w:rPr>
          <w:i/>
          <w:noProof/>
        </w:rPr>
        <w:t>Responding to Financial Crisis: Lessons from Asia Then, the United States and Europe Now</w:t>
      </w:r>
      <w:r w:rsidRPr="00891F56">
        <w:rPr>
          <w:noProof/>
        </w:rPr>
        <w:t>, edited by Changyong Rhee and Adam Posen, 213-48. Washington, DC: Peterson Institute for International Economics and Asian Development Bank.</w:t>
      </w:r>
    </w:p>
    <w:p w14:paraId="0E8FDB89" w14:textId="77777777" w:rsidR="00891F56" w:rsidRPr="00891F56" w:rsidRDefault="00891F56" w:rsidP="008B42F7">
      <w:pPr>
        <w:pStyle w:val="EndNoteBibliography"/>
        <w:spacing w:line="360" w:lineRule="auto"/>
        <w:ind w:left="720" w:hanging="720"/>
        <w:rPr>
          <w:noProof/>
        </w:rPr>
      </w:pPr>
      <w:r w:rsidRPr="00891F56">
        <w:rPr>
          <w:noProof/>
        </w:rPr>
        <w:t xml:space="preserve">Roberts, Cynthia, Leslie Eliot Armijo, and Saori N. Katada. 2018 </w:t>
      </w:r>
      <w:r w:rsidRPr="00891F56">
        <w:rPr>
          <w:i/>
          <w:noProof/>
        </w:rPr>
        <w:t>The BRICS and Collective Financial Statecraft</w:t>
      </w:r>
      <w:r w:rsidRPr="00891F56">
        <w:rPr>
          <w:noProof/>
        </w:rPr>
        <w:t>. Oxford: Oxford University Press.</w:t>
      </w:r>
    </w:p>
    <w:p w14:paraId="04B7853F" w14:textId="77777777" w:rsidR="00891F56" w:rsidRPr="00891F56" w:rsidRDefault="00891F56" w:rsidP="008B42F7">
      <w:pPr>
        <w:pStyle w:val="EndNoteBibliography"/>
        <w:spacing w:line="360" w:lineRule="auto"/>
        <w:ind w:left="720" w:hanging="720"/>
        <w:rPr>
          <w:noProof/>
        </w:rPr>
      </w:pPr>
      <w:r w:rsidRPr="00891F56">
        <w:rPr>
          <w:noProof/>
        </w:rPr>
        <w:t xml:space="preserve">Rodrik, Dani. 2007. </w:t>
      </w:r>
      <w:r w:rsidRPr="00891F56">
        <w:rPr>
          <w:i/>
          <w:noProof/>
        </w:rPr>
        <w:t>One Economics, Many Recipes</w:t>
      </w:r>
      <w:r w:rsidRPr="00891F56">
        <w:rPr>
          <w:noProof/>
        </w:rPr>
        <w:t>. Princeton, NJ: Princeton University Press.</w:t>
      </w:r>
    </w:p>
    <w:p w14:paraId="28C33714" w14:textId="77777777" w:rsidR="00891F56" w:rsidRPr="00891F56" w:rsidRDefault="00891F56" w:rsidP="008B42F7">
      <w:pPr>
        <w:pStyle w:val="EndNoteBibliography"/>
        <w:spacing w:line="360" w:lineRule="auto"/>
        <w:ind w:left="720" w:hanging="720"/>
        <w:rPr>
          <w:noProof/>
        </w:rPr>
      </w:pPr>
      <w:r w:rsidRPr="00891F56">
        <w:rPr>
          <w:noProof/>
        </w:rPr>
        <w:t xml:space="preserve">Rosero, Luis. 2014. "Regional Pooling of International Reserves: The Latin American Reserve Fund in Perspective." </w:t>
      </w:r>
      <w:r w:rsidRPr="00891F56">
        <w:rPr>
          <w:i/>
          <w:noProof/>
        </w:rPr>
        <w:t>Latin American Policy</w:t>
      </w:r>
      <w:r w:rsidRPr="00891F56">
        <w:rPr>
          <w:noProof/>
        </w:rPr>
        <w:t xml:space="preserve"> 5 (1):62-86.</w:t>
      </w:r>
    </w:p>
    <w:p w14:paraId="69059318" w14:textId="77777777" w:rsidR="00891F56" w:rsidRPr="00891F56" w:rsidRDefault="00891F56" w:rsidP="008B42F7">
      <w:pPr>
        <w:pStyle w:val="EndNoteBibliography"/>
        <w:spacing w:line="360" w:lineRule="auto"/>
        <w:ind w:left="720" w:hanging="720"/>
        <w:rPr>
          <w:noProof/>
        </w:rPr>
      </w:pPr>
      <w:r w:rsidRPr="00891F56">
        <w:rPr>
          <w:noProof/>
        </w:rPr>
        <w:t xml:space="preserve">Smith, Adam. 1976[1759]. </w:t>
      </w:r>
      <w:r w:rsidRPr="00891F56">
        <w:rPr>
          <w:i/>
          <w:noProof/>
        </w:rPr>
        <w:t>The Theory of Moral Sentiments</w:t>
      </w:r>
      <w:r w:rsidRPr="00891F56">
        <w:rPr>
          <w:noProof/>
        </w:rPr>
        <w:t>. Oxford: Clarendon Press.</w:t>
      </w:r>
    </w:p>
    <w:p w14:paraId="43C65C29" w14:textId="1DD0D0CF" w:rsidR="00891F56" w:rsidRPr="00891F56" w:rsidRDefault="00891F56" w:rsidP="008B42F7">
      <w:pPr>
        <w:pStyle w:val="EndNoteBibliography"/>
        <w:spacing w:line="360" w:lineRule="auto"/>
        <w:ind w:left="720" w:hanging="720"/>
        <w:rPr>
          <w:noProof/>
        </w:rPr>
      </w:pPr>
      <w:r w:rsidRPr="00891F56">
        <w:rPr>
          <w:noProof/>
        </w:rPr>
        <w:t xml:space="preserve">Strauss-Kahn, Dominique. 2010. An IMF for the 21st Century. Address delivered at Bretton Woods Committee Annual Meeting, Washington, DC: International Monetary Fund, February 26. </w:t>
      </w:r>
      <w:hyperlink r:id="rId28" w:history="1">
        <w:r w:rsidRPr="00891F56">
          <w:rPr>
            <w:rStyle w:val="Hyperlink"/>
            <w:rFonts w:asciiTheme="minorHAnsi" w:hAnsiTheme="minorHAnsi"/>
            <w:noProof/>
          </w:rPr>
          <w:t>https://www.imf.org/external/np/speeches/2010/022610.htm</w:t>
        </w:r>
      </w:hyperlink>
      <w:r w:rsidRPr="00891F56">
        <w:rPr>
          <w:noProof/>
        </w:rPr>
        <w:t>.</w:t>
      </w:r>
    </w:p>
    <w:p w14:paraId="0CF7FC4B" w14:textId="77777777" w:rsidR="00891F56" w:rsidRPr="00891F56" w:rsidRDefault="00891F56" w:rsidP="008B42F7">
      <w:pPr>
        <w:pStyle w:val="EndNoteBibliography"/>
        <w:spacing w:line="360" w:lineRule="auto"/>
        <w:ind w:left="720" w:hanging="720"/>
        <w:rPr>
          <w:noProof/>
        </w:rPr>
      </w:pPr>
      <w:r w:rsidRPr="00891F56">
        <w:rPr>
          <w:noProof/>
        </w:rPr>
        <w:t xml:space="preserve">Stuenkel, Oliver. 2016. </w:t>
      </w:r>
      <w:r w:rsidRPr="00891F56">
        <w:rPr>
          <w:i/>
          <w:noProof/>
        </w:rPr>
        <w:t>Post-Western World: How Emerging Powers Are Remaking Global Order</w:t>
      </w:r>
      <w:r w:rsidRPr="00891F56">
        <w:rPr>
          <w:noProof/>
        </w:rPr>
        <w:t>. Cambridge: Polity.</w:t>
      </w:r>
    </w:p>
    <w:p w14:paraId="7B6ED85E" w14:textId="77777777" w:rsidR="00891F56" w:rsidRPr="00891F56" w:rsidRDefault="00891F56" w:rsidP="008B42F7">
      <w:pPr>
        <w:pStyle w:val="EndNoteBibliography"/>
        <w:spacing w:line="360" w:lineRule="auto"/>
        <w:ind w:left="720" w:hanging="720"/>
        <w:rPr>
          <w:noProof/>
        </w:rPr>
      </w:pPr>
      <w:r w:rsidRPr="00891F56">
        <w:rPr>
          <w:noProof/>
        </w:rPr>
        <w:t xml:space="preserve">Taleb, Nassim Nicholas. 2012. </w:t>
      </w:r>
      <w:r w:rsidRPr="00891F56">
        <w:rPr>
          <w:i/>
          <w:noProof/>
        </w:rPr>
        <w:t>Anti-Fragile: Things That Gain from Disorder</w:t>
      </w:r>
      <w:r w:rsidRPr="00891F56">
        <w:rPr>
          <w:noProof/>
        </w:rPr>
        <w:t>. New York: Random House.</w:t>
      </w:r>
    </w:p>
    <w:p w14:paraId="623BD2DA" w14:textId="0299A173" w:rsidR="00891F56" w:rsidRPr="00891F56" w:rsidRDefault="00891F56" w:rsidP="008B42F7">
      <w:pPr>
        <w:pStyle w:val="EndNoteBibliography"/>
        <w:spacing w:line="360" w:lineRule="auto"/>
        <w:ind w:left="720" w:hanging="720"/>
        <w:rPr>
          <w:noProof/>
        </w:rPr>
      </w:pPr>
      <w:r w:rsidRPr="00891F56">
        <w:rPr>
          <w:noProof/>
        </w:rPr>
        <w:t xml:space="preserve">Titelman, Daniel, Cecilia Vera, Pablo Carvallo, and Esteban Pérez-Caldentey. 2014. "A Regional Reserve Fund for Latin America." </w:t>
      </w:r>
      <w:r w:rsidRPr="00891F56">
        <w:rPr>
          <w:i/>
          <w:noProof/>
        </w:rPr>
        <w:t>CEPAL Review</w:t>
      </w:r>
      <w:r w:rsidRPr="00891F56">
        <w:rPr>
          <w:noProof/>
        </w:rPr>
        <w:t xml:space="preserve"> (112):7-28. </w:t>
      </w:r>
      <w:hyperlink r:id="rId29" w:history="1">
        <w:r w:rsidRPr="00891F56">
          <w:rPr>
            <w:rStyle w:val="Hyperlink"/>
            <w:rFonts w:asciiTheme="minorHAnsi" w:hAnsiTheme="minorHAnsi"/>
            <w:noProof/>
          </w:rPr>
          <w:t>http://repositorio.cepal.org/bitstream/handle/11362/37018/RVI112Titelmanetal_en.pdf?sequence=1</w:t>
        </w:r>
      </w:hyperlink>
      <w:r w:rsidRPr="00891F56">
        <w:rPr>
          <w:noProof/>
        </w:rPr>
        <w:t>.</w:t>
      </w:r>
    </w:p>
    <w:p w14:paraId="374D38F9" w14:textId="46FF698C" w:rsidR="00891F56" w:rsidRPr="00891F56" w:rsidRDefault="00891F56" w:rsidP="008B42F7">
      <w:pPr>
        <w:pStyle w:val="EndNoteBibliography"/>
        <w:spacing w:line="360" w:lineRule="auto"/>
        <w:ind w:left="720" w:hanging="720"/>
        <w:rPr>
          <w:noProof/>
        </w:rPr>
      </w:pPr>
      <w:r w:rsidRPr="00891F56">
        <w:rPr>
          <w:noProof/>
        </w:rPr>
        <w:t>UN. 2002. Monterrey Consensus of the International Conferen</w:t>
      </w:r>
      <w:r w:rsidR="001B17CD">
        <w:rPr>
          <w:noProof/>
        </w:rPr>
        <w:t>ce on Financing for Development</w:t>
      </w:r>
      <w:r w:rsidRPr="00891F56">
        <w:rPr>
          <w:noProof/>
        </w:rPr>
        <w:t xml:space="preserve">. Monterrey, March 18-22. </w:t>
      </w:r>
      <w:hyperlink r:id="rId30" w:history="1">
        <w:r w:rsidRPr="00891F56">
          <w:rPr>
            <w:rStyle w:val="Hyperlink"/>
            <w:rFonts w:asciiTheme="minorHAnsi" w:hAnsiTheme="minorHAnsi"/>
            <w:noProof/>
          </w:rPr>
          <w:t>http://www.un.org/esa/ffd/monterrey/MonterreyConsensus.pdf</w:t>
        </w:r>
      </w:hyperlink>
      <w:r w:rsidRPr="00891F56">
        <w:rPr>
          <w:noProof/>
        </w:rPr>
        <w:t>.</w:t>
      </w:r>
    </w:p>
    <w:p w14:paraId="1A02FC75" w14:textId="647BD6E3" w:rsidR="00891F56" w:rsidRPr="00891F56" w:rsidRDefault="00891F56" w:rsidP="008B42F7">
      <w:pPr>
        <w:pStyle w:val="EndNoteBibliography"/>
        <w:spacing w:line="360" w:lineRule="auto"/>
        <w:ind w:left="720" w:hanging="720"/>
        <w:rPr>
          <w:noProof/>
        </w:rPr>
      </w:pPr>
      <w:r w:rsidRPr="00891F56">
        <w:rPr>
          <w:noProof/>
        </w:rPr>
        <w:t xml:space="preserve">UN. 2009. Report of the Commission of Experts of the President of the United Nations General Assembly on Reforms of the International Monetary and Financial System. New York: United Nations, September 21. </w:t>
      </w:r>
      <w:hyperlink r:id="rId31" w:history="1">
        <w:r w:rsidRPr="00891F56">
          <w:rPr>
            <w:rStyle w:val="Hyperlink"/>
            <w:rFonts w:asciiTheme="minorHAnsi" w:hAnsiTheme="minorHAnsi"/>
            <w:noProof/>
          </w:rPr>
          <w:t>http://www.un.org/ga/econcrisissummit/docs/FinalReport_CoE.pdf</w:t>
        </w:r>
      </w:hyperlink>
      <w:r w:rsidRPr="00891F56">
        <w:rPr>
          <w:noProof/>
        </w:rPr>
        <w:t>.</w:t>
      </w:r>
    </w:p>
    <w:p w14:paraId="6FC200A9" w14:textId="749FCAA3" w:rsidR="00891F56" w:rsidRPr="00891F56" w:rsidRDefault="00891F56" w:rsidP="008B42F7">
      <w:pPr>
        <w:pStyle w:val="EndNoteBibliography"/>
        <w:spacing w:line="360" w:lineRule="auto"/>
        <w:ind w:left="720" w:hanging="720"/>
        <w:rPr>
          <w:noProof/>
        </w:rPr>
      </w:pPr>
      <w:r w:rsidRPr="00891F56">
        <w:rPr>
          <w:noProof/>
        </w:rPr>
        <w:t xml:space="preserve">UN. 2014. Report of the Intergovernmental Committee of Experts on Sustainable Development Financing. New York: United Nations, August 8. </w:t>
      </w:r>
      <w:hyperlink r:id="rId32" w:history="1">
        <w:r w:rsidRPr="00891F56">
          <w:rPr>
            <w:rStyle w:val="Hyperlink"/>
            <w:rFonts w:asciiTheme="minorHAnsi" w:hAnsiTheme="minorHAnsi"/>
            <w:noProof/>
          </w:rPr>
          <w:t>https://sustainabledevelopment.un.org/content/documents/4588FINAL REPORT ICESDF.pdf</w:t>
        </w:r>
      </w:hyperlink>
      <w:r w:rsidRPr="00891F56">
        <w:rPr>
          <w:noProof/>
        </w:rPr>
        <w:t>.</w:t>
      </w:r>
    </w:p>
    <w:p w14:paraId="201E98A4" w14:textId="77777777" w:rsidR="00891F56" w:rsidRPr="00891F56" w:rsidRDefault="00891F56" w:rsidP="008B42F7">
      <w:pPr>
        <w:pStyle w:val="EndNoteBibliography"/>
        <w:spacing w:line="360" w:lineRule="auto"/>
        <w:ind w:left="720" w:hanging="720"/>
        <w:rPr>
          <w:noProof/>
        </w:rPr>
      </w:pPr>
      <w:r w:rsidRPr="00891F56">
        <w:rPr>
          <w:noProof/>
        </w:rPr>
        <w:t xml:space="preserve">UNCTAD, various years. </w:t>
      </w:r>
      <w:r w:rsidRPr="00891F56">
        <w:rPr>
          <w:i/>
          <w:noProof/>
        </w:rPr>
        <w:t>Trade and Development Report</w:t>
      </w:r>
      <w:r w:rsidRPr="00891F56">
        <w:rPr>
          <w:noProof/>
        </w:rPr>
        <w:t>. Geneva: United Nations Conference on Trade and Development.</w:t>
      </w:r>
    </w:p>
    <w:p w14:paraId="1E365B2C" w14:textId="77777777" w:rsidR="00891F56" w:rsidRPr="00891F56" w:rsidRDefault="00891F56" w:rsidP="008B42F7">
      <w:pPr>
        <w:pStyle w:val="EndNoteBibliography"/>
        <w:spacing w:line="360" w:lineRule="auto"/>
        <w:ind w:left="720" w:hanging="720"/>
        <w:rPr>
          <w:noProof/>
        </w:rPr>
      </w:pPr>
      <w:r w:rsidRPr="00891F56">
        <w:rPr>
          <w:noProof/>
        </w:rPr>
        <w:t xml:space="preserve">Vestergaard, Jakob, and Robert H. Wade. 2011. "The G20 Has Served Its Purpose and Should Be Replaced." </w:t>
      </w:r>
      <w:r w:rsidRPr="00891F56">
        <w:rPr>
          <w:i/>
          <w:noProof/>
        </w:rPr>
        <w:t>Journal of Globalization and Development</w:t>
      </w:r>
      <w:r w:rsidRPr="00891F56">
        <w:rPr>
          <w:noProof/>
        </w:rPr>
        <w:t xml:space="preserve"> 2 (2):Article 10. doi: 10.1515/1948-1837.1237.</w:t>
      </w:r>
    </w:p>
    <w:p w14:paraId="11A87E4B" w14:textId="77777777" w:rsidR="00891F56" w:rsidRPr="00891F56" w:rsidRDefault="00891F56" w:rsidP="008B42F7">
      <w:pPr>
        <w:pStyle w:val="EndNoteBibliography"/>
        <w:spacing w:line="360" w:lineRule="auto"/>
        <w:ind w:left="720" w:hanging="720"/>
        <w:rPr>
          <w:noProof/>
        </w:rPr>
      </w:pPr>
      <w:r w:rsidRPr="00891F56">
        <w:rPr>
          <w:noProof/>
        </w:rPr>
        <w:t xml:space="preserve">Wang, Hongying. 2018. The NDB and the AIIB: China's Ambiguous Approach to Global Financial Governance, submitted for consideration in special issue of </w:t>
      </w:r>
      <w:r w:rsidRPr="00891F56">
        <w:rPr>
          <w:i/>
          <w:noProof/>
        </w:rPr>
        <w:t>Development and Change</w:t>
      </w:r>
      <w:r w:rsidRPr="00891F56">
        <w:rPr>
          <w:noProof/>
        </w:rPr>
        <w:t>.</w:t>
      </w:r>
    </w:p>
    <w:p w14:paraId="6B2B841B" w14:textId="4761841D" w:rsidR="00891F56" w:rsidRPr="00891F56" w:rsidRDefault="00891F56" w:rsidP="008B42F7">
      <w:pPr>
        <w:pStyle w:val="EndNoteBibliography"/>
        <w:spacing w:line="360" w:lineRule="auto"/>
        <w:ind w:left="720" w:hanging="720"/>
        <w:rPr>
          <w:noProof/>
        </w:rPr>
      </w:pPr>
      <w:r w:rsidRPr="00891F56">
        <w:rPr>
          <w:noProof/>
        </w:rPr>
        <w:t xml:space="preserve">Zhou, Xiaochuan. 2009. "Reform the International Monetary System." </w:t>
      </w:r>
      <w:r w:rsidRPr="00891F56">
        <w:rPr>
          <w:i/>
          <w:noProof/>
        </w:rPr>
        <w:t>Bank for International Settlements Review</w:t>
      </w:r>
      <w:r w:rsidRPr="00891F56">
        <w:rPr>
          <w:noProof/>
        </w:rPr>
        <w:t xml:space="preserve"> 41:1-3. </w:t>
      </w:r>
      <w:hyperlink r:id="rId33" w:history="1">
        <w:r w:rsidRPr="00891F56">
          <w:rPr>
            <w:rStyle w:val="Hyperlink"/>
            <w:rFonts w:asciiTheme="minorHAnsi" w:hAnsiTheme="minorHAnsi"/>
            <w:noProof/>
          </w:rPr>
          <w:t>http://www.bis.org/review/r090402c.pdf</w:t>
        </w:r>
      </w:hyperlink>
      <w:r w:rsidRPr="00891F56">
        <w:rPr>
          <w:noProof/>
        </w:rPr>
        <w:t>.</w:t>
      </w:r>
    </w:p>
    <w:p w14:paraId="17040312" w14:textId="482FC1D3" w:rsidR="007A2BA2" w:rsidRPr="00A77BD5" w:rsidRDefault="00891F56" w:rsidP="008B42F7">
      <w:pPr>
        <w:spacing w:line="360" w:lineRule="auto"/>
        <w:rPr>
          <w:rFonts w:ascii="Times New Roman" w:hAnsi="Times New Roman"/>
        </w:rPr>
      </w:pPr>
      <w:r>
        <w:rPr>
          <w:rFonts w:ascii="Times New Roman" w:hAnsi="Times New Roman"/>
        </w:rPr>
        <w:fldChar w:fldCharType="end"/>
      </w:r>
    </w:p>
    <w:sectPr w:rsidR="007A2BA2" w:rsidRPr="00A77BD5" w:rsidSect="004F7552">
      <w:footerReference w:type="even" r:id="rId34"/>
      <w:footerReference w:type="default" r:id="rId35"/>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8C39A8" w14:textId="77777777" w:rsidR="00AB05A5" w:rsidRDefault="00AB05A5" w:rsidP="00822E01">
      <w:r>
        <w:separator/>
      </w:r>
    </w:p>
  </w:endnote>
  <w:endnote w:type="continuationSeparator" w:id="0">
    <w:p w14:paraId="0158B67F" w14:textId="77777777" w:rsidR="00AB05A5" w:rsidRDefault="00AB05A5" w:rsidP="00822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Eurostile">
    <w:panose1 w:val="020B050402020205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Perpetua">
    <w:panose1 w:val="02020502060401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11485" w14:textId="77777777" w:rsidR="00AB05A5" w:rsidRDefault="00AB05A5" w:rsidP="005F5B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7BB525" w14:textId="77777777" w:rsidR="00AB05A5" w:rsidRDefault="00AB05A5" w:rsidP="005F5BB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2CFAF3" w14:textId="77777777" w:rsidR="00AB05A5" w:rsidRDefault="00AB05A5" w:rsidP="005F5B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51C9">
      <w:rPr>
        <w:rStyle w:val="PageNumber"/>
        <w:noProof/>
      </w:rPr>
      <w:t>34</w:t>
    </w:r>
    <w:r>
      <w:rPr>
        <w:rStyle w:val="PageNumber"/>
      </w:rPr>
      <w:fldChar w:fldCharType="end"/>
    </w:r>
  </w:p>
  <w:p w14:paraId="1366BB52" w14:textId="77777777" w:rsidR="00AB05A5" w:rsidRDefault="00AB05A5" w:rsidP="005F5BB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B26ADB" w14:textId="77777777" w:rsidR="00AB05A5" w:rsidRDefault="00AB05A5" w:rsidP="00822E01">
      <w:r>
        <w:separator/>
      </w:r>
    </w:p>
  </w:footnote>
  <w:footnote w:type="continuationSeparator" w:id="0">
    <w:p w14:paraId="7DCDD84E" w14:textId="77777777" w:rsidR="00AB05A5" w:rsidRDefault="00AB05A5" w:rsidP="00822E01">
      <w:r>
        <w:continuationSeparator/>
      </w:r>
    </w:p>
  </w:footnote>
  <w:footnote w:id="1">
    <w:p w14:paraId="04155106" w14:textId="03E91613" w:rsidR="00AB05A5" w:rsidRPr="002455E4" w:rsidRDefault="00AB05A5" w:rsidP="001E1F6C">
      <w:pPr>
        <w:pStyle w:val="FootnoteText"/>
        <w:rPr>
          <w:rFonts w:ascii="Times New Roman" w:hAnsi="Times New Roman"/>
          <w:sz w:val="22"/>
          <w:szCs w:val="22"/>
        </w:rPr>
      </w:pPr>
      <w:r w:rsidRPr="00C3284B">
        <w:rPr>
          <w:rStyle w:val="FootnoteReference"/>
          <w:rFonts w:ascii="Times New Roman" w:hAnsi="Times New Roman"/>
          <w:sz w:val="22"/>
          <w:szCs w:val="22"/>
        </w:rPr>
        <w:footnoteRef/>
      </w:r>
      <w:r w:rsidRPr="00C3284B">
        <w:rPr>
          <w:rFonts w:ascii="Times New Roman" w:hAnsi="Times New Roman"/>
          <w:sz w:val="22"/>
          <w:szCs w:val="22"/>
        </w:rPr>
        <w:t xml:space="preserve"> Elsewhere I challenge this and other aspects of the continuity thesis as pertains </w:t>
      </w:r>
      <w:r>
        <w:rPr>
          <w:rFonts w:ascii="Times New Roman" w:hAnsi="Times New Roman"/>
          <w:sz w:val="22"/>
          <w:szCs w:val="22"/>
        </w:rPr>
        <w:t xml:space="preserve">to global financial governance </w:t>
      </w:r>
      <w:r>
        <w:rPr>
          <w:rFonts w:ascii="Times New Roman" w:hAnsi="Times New Roman"/>
          <w:sz w:val="22"/>
          <w:szCs w:val="22"/>
        </w:rPr>
        <w:fldChar w:fldCharType="begin"/>
      </w:r>
      <w:r>
        <w:rPr>
          <w:rFonts w:ascii="Times New Roman" w:hAnsi="Times New Roman"/>
          <w:sz w:val="22"/>
          <w:szCs w:val="22"/>
        </w:rPr>
        <w:instrText xml:space="preserve"> ADDIN EN.CITE &lt;EndNote&gt;&lt;Cite&gt;&lt;Author&gt;Grabel&lt;/Author&gt;&lt;Year&gt;2017&lt;/Year&gt;&lt;RecNum&gt;1930&lt;/RecNum&gt;&lt;DisplayText&gt;(Grabel 2017)&lt;/DisplayText&gt;&lt;record&gt;&lt;rec-number&gt;1930&lt;/rec-number&gt;&lt;foreign-keys&gt;&lt;key app="EN" db-id="x2xf5e95kefpz8e59fcx5psgerr9wepetvet" timestamp="1499956361"&gt;1930&lt;/key&gt;&lt;/foreign-keys&gt;&lt;ref-type name="Book"&gt;6&lt;/ref-type&gt;&lt;contributors&gt;&lt;authors&gt;&lt;author&gt;Grabel, Ilene&lt;/author&gt;&lt;/authors&gt;&lt;/contributors&gt;&lt;titles&gt;&lt;title&gt;When Things Don’t Fall Apart: Global Financial Governance and Developmental Finance in an Age of Productive Incoherence&lt;/title&gt;&lt;/titles&gt;&lt;dates&gt;&lt;year&gt;2017&lt;/year&gt;&lt;/dates&gt;&lt;pub-location&gt;Cambridge, MA&lt;/pub-location&gt;&lt;publisher&gt;MIT Press&lt;/publisher&gt;&lt;urls&gt;&lt;/urls&gt;&lt;/record&gt;&lt;/Cite&gt;&lt;/EndNote&gt;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(Grabel 2017)</w:t>
      </w:r>
      <w:r>
        <w:rPr>
          <w:rFonts w:ascii="Times New Roman" w:hAnsi="Times New Roman"/>
          <w:sz w:val="22"/>
          <w:szCs w:val="22"/>
        </w:rPr>
        <w:fldChar w:fldCharType="end"/>
      </w:r>
      <w:r w:rsidRPr="00C3284B">
        <w:rPr>
          <w:rFonts w:ascii="Times New Roman" w:hAnsi="Times New Roman"/>
          <w:sz w:val="22"/>
          <w:szCs w:val="22"/>
        </w:rPr>
        <w:t>.</w:t>
      </w:r>
    </w:p>
  </w:footnote>
  <w:footnote w:id="2">
    <w:p w14:paraId="40D1F785" w14:textId="1A63F69F" w:rsidR="00AB05A5" w:rsidRPr="001037AF" w:rsidRDefault="00AB05A5" w:rsidP="00DB4782">
      <w:pPr>
        <w:pStyle w:val="FootnoteText"/>
        <w:rPr>
          <w:rFonts w:ascii="Times New Roman" w:hAnsi="Times New Roman"/>
          <w:sz w:val="22"/>
          <w:szCs w:val="22"/>
        </w:rPr>
      </w:pPr>
      <w:r w:rsidRPr="001037AF">
        <w:rPr>
          <w:rStyle w:val="FootnoteReference"/>
          <w:rFonts w:ascii="Times New Roman" w:hAnsi="Times New Roman"/>
          <w:sz w:val="22"/>
          <w:szCs w:val="22"/>
        </w:rPr>
        <w:footnoteRef/>
      </w:r>
      <w:r w:rsidRPr="001037AF">
        <w:rPr>
          <w:rFonts w:ascii="Times New Roman" w:hAnsi="Times New Roman"/>
          <w:sz w:val="22"/>
          <w:szCs w:val="22"/>
        </w:rPr>
        <w:t xml:space="preserve"> I advance the concept of productive incoherence, respectively, in work on the IMF, EMDE institutions, and capital controls </w:t>
      </w:r>
      <w:r>
        <w:rPr>
          <w:rFonts w:ascii="Times New Roman" w:hAnsi="Times New Roman"/>
          <w:sz w:val="22"/>
          <w:szCs w:val="22"/>
        </w:rPr>
        <w:fldChar w:fldCharType="begin">
          <w:fldData xml:space="preserve">PEVuZE5vdGU+PENpdGU+PEF1dGhvcj5HcmFiZWw8L0F1dGhvcj48WWVhcj4yMDExPC9ZZWFyPjxS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</w:fldData>
        </w:fldChar>
      </w:r>
      <w:r>
        <w:rPr>
          <w:rFonts w:ascii="Times New Roman" w:hAnsi="Times New Roman"/>
          <w:sz w:val="22"/>
          <w:szCs w:val="22"/>
        </w:rPr>
        <w:instrText xml:space="preserve"> ADDIN EN.CITE </w:instrText>
      </w:r>
      <w:r>
        <w:rPr>
          <w:rFonts w:ascii="Times New Roman" w:hAnsi="Times New Roman"/>
          <w:sz w:val="22"/>
          <w:szCs w:val="22"/>
        </w:rPr>
        <w:fldChar w:fldCharType="begin">
          <w:fldData xml:space="preserve">PEVuZE5vdGU+PENpdGU+PEF1dGhvcj5HcmFiZWw8L0F1dGhvcj48WWVhcj4yMDExPC9ZZWFyPjxS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</w:fldData>
        </w:fldChar>
      </w:r>
      <w:r>
        <w:rPr>
          <w:rFonts w:ascii="Times New Roman" w:hAnsi="Times New Roman"/>
          <w:sz w:val="22"/>
          <w:szCs w:val="22"/>
        </w:rPr>
        <w:instrText xml:space="preserve"> ADDIN EN.CITE.DATA </w:instrText>
      </w:r>
      <w:r>
        <w:rPr>
          <w:rFonts w:ascii="Times New Roman" w:hAnsi="Times New Roman"/>
          <w:sz w:val="22"/>
          <w:szCs w:val="22"/>
        </w:rPr>
      </w:r>
      <w:r>
        <w:rPr>
          <w:rFonts w:ascii="Times New Roman" w:hAnsi="Times New Roman"/>
          <w:sz w:val="22"/>
          <w:szCs w:val="22"/>
        </w:rPr>
        <w:fldChar w:fldCharType="end"/>
      </w:r>
      <w:r>
        <w:rPr>
          <w:rFonts w:ascii="Times New Roman" w:hAnsi="Times New Roman"/>
          <w:sz w:val="22"/>
          <w:szCs w:val="22"/>
        </w:rPr>
      </w:r>
      <w:r>
        <w:rPr>
          <w:rFonts w:ascii="Times New Roman" w:hAnsi="Times New Roman"/>
          <w:sz w:val="22"/>
          <w:szCs w:val="22"/>
        </w:rPr>
        <w:fldChar w:fldCharType="separate"/>
      </w:r>
      <w:r>
        <w:rPr>
          <w:rFonts w:ascii="Times New Roman" w:hAnsi="Times New Roman"/>
          <w:noProof/>
          <w:sz w:val="22"/>
          <w:szCs w:val="22"/>
        </w:rPr>
        <w:t>(Grabel 2011, 2013, 2015)</w:t>
      </w:r>
      <w:r>
        <w:rPr>
          <w:rFonts w:ascii="Times New Roman" w:hAnsi="Times New Roman"/>
          <w:sz w:val="22"/>
          <w:szCs w:val="22"/>
        </w:rPr>
        <w:fldChar w:fldCharType="end"/>
      </w:r>
      <w:r w:rsidRPr="001037AF">
        <w:rPr>
          <w:rFonts w:ascii="Times New Roman" w:hAnsi="Times New Roman"/>
          <w:sz w:val="22"/>
          <w:szCs w:val="22"/>
        </w:rPr>
        <w:t>.</w:t>
      </w:r>
      <w:r w:rsidRPr="001037AF">
        <w:rPr>
          <w:rFonts w:ascii="Times New Roman" w:hAnsi="Times New Roman"/>
          <w:sz w:val="22"/>
          <w:szCs w:val="22"/>
          <w:highlight w:val="yellow"/>
        </w:rPr>
        <w:t xml:space="preserve"> </w:t>
      </w:r>
    </w:p>
  </w:footnote>
  <w:footnote w:id="3">
    <w:p w14:paraId="521186D3" w14:textId="7E06C727" w:rsidR="00AB05A5" w:rsidRPr="001B1CEE" w:rsidRDefault="00AB05A5" w:rsidP="001E1F6C">
      <w:pPr>
        <w:rPr>
          <w:rFonts w:ascii="Times New Roman" w:hAnsi="Times New Roman"/>
          <w:b/>
          <w:sz w:val="22"/>
          <w:szCs w:val="22"/>
        </w:rPr>
      </w:pPr>
      <w:r w:rsidRPr="001B1CEE">
        <w:rPr>
          <w:rStyle w:val="FootnoteReference"/>
          <w:rFonts w:ascii="Times New Roman" w:hAnsi="Times New Roman"/>
          <w:sz w:val="22"/>
          <w:szCs w:val="22"/>
        </w:rPr>
        <w:footnoteRef/>
      </w:r>
      <w:r w:rsidRPr="001B1CEE">
        <w:rPr>
          <w:rFonts w:ascii="Times New Roman" w:hAnsi="Times New Roman"/>
          <w:sz w:val="22"/>
          <w:szCs w:val="22"/>
        </w:rPr>
        <w:t xml:space="preserve"> We might also understand fledgling networks in terms of their potential to increase robustness and what </w:t>
      </w:r>
      <w:proofErr w:type="spellStart"/>
      <w:r w:rsidRPr="001B1CEE">
        <w:rPr>
          <w:rFonts w:ascii="Times New Roman" w:hAnsi="Times New Roman"/>
          <w:sz w:val="22"/>
          <w:szCs w:val="22"/>
        </w:rPr>
        <w:t>Taleb</w:t>
      </w:r>
      <w:proofErr w:type="spellEnd"/>
      <w:r w:rsidRPr="001B1CEE">
        <w:rPr>
          <w:rFonts w:ascii="Times New Roman" w:hAnsi="Times New Roman"/>
          <w:sz w:val="22"/>
          <w:szCs w:val="22"/>
        </w:rPr>
        <w:t xml:space="preserve"> </w:t>
      </w:r>
      <w:r>
        <w:rPr>
          <w:rFonts w:ascii="Times New Roman" w:hAnsi="Times New Roman"/>
          <w:sz w:val="22"/>
          <w:szCs w:val="22"/>
        </w:rPr>
        <w:fldChar w:fldCharType="begin"/>
      </w:r>
      <w:r>
        <w:rPr>
          <w:rFonts w:ascii="Times New Roman" w:hAnsi="Times New Roman"/>
          <w:sz w:val="22"/>
          <w:szCs w:val="22"/>
        </w:rPr>
        <w:instrText xml:space="preserve"> ADDIN EN.CITE &lt;EndNote&gt;&lt;Cite ExcludeAuth="1"&gt;&lt;Author&gt;Taleb&lt;/Author&gt;&lt;Year&gt;2012&lt;/Year&gt;&lt;RecNum&gt;1050&lt;/RecNum&gt;&lt;DisplayText&gt;(2012)&lt;/DisplayText&gt;&lt;record&gt;&lt;rec-number&gt;1050&lt;/rec-number&gt;&lt;foreign-keys&gt;&lt;key app="EN" db-id="x2xf5e95kefpz8e59fcx5psgerr9wepetvet" timestamp="1428516396"&gt;1050&lt;/key&gt;&lt;/foreign-keys&gt;&lt;ref-type name="Book"&gt;6&lt;/ref-type&gt;&lt;contributors&gt;&lt;authors&gt;&lt;author&gt;Taleb, Nassim Nicholas&lt;/author&gt;&lt;/authors&gt;&lt;/contributors&gt;&lt;titles&gt;&lt;title&gt;Anti-Fragile: Things That Gain from Disorder&lt;/title&gt;&lt;/titles&gt;&lt;dates&gt;&lt;year&gt;2012&lt;/year&gt;&lt;/dates&gt;&lt;pub-location&gt;New York&lt;/pub-location&gt;&lt;publisher&gt;Random House&lt;/publisher&gt;&lt;urls&gt;&lt;/urls&gt;&lt;/record&gt;&lt;/Cite&gt;&lt;/EndNote&gt;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(2012)</w:t>
      </w:r>
      <w:r>
        <w:rPr>
          <w:rFonts w:ascii="Times New Roman" w:hAnsi="Times New Roman"/>
          <w:sz w:val="22"/>
          <w:szCs w:val="22"/>
        </w:rPr>
        <w:fldChar w:fldCharType="end"/>
      </w:r>
      <w:r w:rsidRPr="001B1CEE">
        <w:rPr>
          <w:rFonts w:ascii="Times New Roman" w:hAnsi="Times New Roman"/>
          <w:sz w:val="22"/>
          <w:szCs w:val="22"/>
        </w:rPr>
        <w:t xml:space="preserve"> terms ‘anti-fragility.’</w:t>
      </w:r>
    </w:p>
  </w:footnote>
  <w:footnote w:id="4">
    <w:p w14:paraId="1FD71C73" w14:textId="3E3FF8A1" w:rsidR="00AB05A5" w:rsidRPr="001B1CEE" w:rsidRDefault="00AB05A5" w:rsidP="008E2A2E">
      <w:pPr>
        <w:pStyle w:val="FootnoteText"/>
        <w:rPr>
          <w:rFonts w:ascii="Times New Roman" w:hAnsi="Times New Roman"/>
          <w:sz w:val="22"/>
          <w:szCs w:val="22"/>
        </w:rPr>
      </w:pPr>
      <w:r w:rsidRPr="001B1CEE">
        <w:rPr>
          <w:rStyle w:val="FootnoteReference"/>
          <w:rFonts w:ascii="Times New Roman" w:hAnsi="Times New Roman"/>
          <w:sz w:val="22"/>
          <w:szCs w:val="22"/>
        </w:rPr>
        <w:footnoteRef/>
      </w:r>
      <w:r w:rsidRPr="001B1CEE">
        <w:rPr>
          <w:rFonts w:ascii="Times New Roman" w:hAnsi="Times New Roman"/>
          <w:sz w:val="22"/>
          <w:szCs w:val="22"/>
        </w:rPr>
        <w:t xml:space="preserve"> Smith </w:t>
      </w:r>
      <w:r>
        <w:rPr>
          <w:rFonts w:ascii="Times New Roman" w:hAnsi="Times New Roman"/>
          <w:sz w:val="22"/>
          <w:szCs w:val="22"/>
        </w:rPr>
        <w:fldChar w:fldCharType="begin"/>
      </w:r>
      <w:r>
        <w:rPr>
          <w:rFonts w:ascii="Times New Roman" w:hAnsi="Times New Roman"/>
          <w:sz w:val="22"/>
          <w:szCs w:val="22"/>
        </w:rPr>
        <w:instrText xml:space="preserve"> ADDIN EN.CITE &lt;EndNote&gt;&lt;Cite ExcludeAuth="1" AuthorYear="1"&gt;&lt;Author&gt;Smith&lt;/Author&gt;&lt;Year&gt;1976[1759]&lt;/Year&gt;&lt;RecNum&gt;543&lt;/RecNum&gt;&lt;Pages&gt;233-4&lt;/Pages&gt;&lt;DisplayText&gt;1976[1759], 233-4)&lt;/DisplayText&gt;&lt;record&gt;&lt;rec-number&gt;543&lt;/rec-number&gt;&lt;foreign-keys&gt;&lt;key app="EN" db-id="x2xf5e95kefpz8e59fcx5psgerr9wepetvet" timestamp="1427667556"&gt;543&lt;/key&gt;&lt;/foreign-keys&gt;&lt;ref-type name="Book"&gt;6&lt;/ref-type&gt;&lt;contributors&gt;&lt;authors&gt;&lt;author&gt;Smith, Adam&lt;/author&gt;&lt;/authors&gt;&lt;/contributors&gt;&lt;titles&gt;&lt;title&gt;The Theory of Moral Sentiments&lt;/title&gt;&lt;/titles&gt;&lt;dates&gt;&lt;year&gt;1976[1759]&lt;/year&gt;&lt;/dates&gt;&lt;pub-location&gt;Oxford&lt;/pub-location&gt;&lt;publisher&gt;Clarendon Press&lt;/publisher&gt;&lt;urls&gt;&lt;/urls&gt;&lt;/record&gt;&lt;/Cite&gt;&lt;/EndNote&gt;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1976[1759], 233-4)</w:t>
      </w:r>
      <w:r>
        <w:rPr>
          <w:rFonts w:ascii="Times New Roman" w:hAnsi="Times New Roman"/>
          <w:sz w:val="22"/>
          <w:szCs w:val="22"/>
        </w:rPr>
        <w:fldChar w:fldCharType="end"/>
      </w:r>
      <w:r w:rsidRPr="001B1CEE">
        <w:rPr>
          <w:rFonts w:ascii="Times New Roman" w:hAnsi="Times New Roman"/>
          <w:sz w:val="22"/>
          <w:szCs w:val="22"/>
        </w:rPr>
        <w:t xml:space="preserve"> was an early critic of social engineering. For contemporary critiques see </w:t>
      </w:r>
      <w:proofErr w:type="spellStart"/>
      <w:r w:rsidRPr="001B1CEE">
        <w:rPr>
          <w:rFonts w:ascii="Times New Roman" w:hAnsi="Times New Roman"/>
          <w:sz w:val="22"/>
          <w:szCs w:val="22"/>
        </w:rPr>
        <w:t>DeMartino</w:t>
      </w:r>
      <w:proofErr w:type="spellEnd"/>
      <w:r w:rsidRPr="001B1CEE">
        <w:rPr>
          <w:rFonts w:ascii="Times New Roman" w:hAnsi="Times New Roman"/>
          <w:sz w:val="22"/>
          <w:szCs w:val="22"/>
        </w:rPr>
        <w:t xml:space="preserve"> </w:t>
      </w:r>
      <w:r>
        <w:rPr>
          <w:rFonts w:ascii="Times New Roman" w:hAnsi="Times New Roman"/>
          <w:sz w:val="22"/>
          <w:szCs w:val="22"/>
        </w:rPr>
        <w:fldChar w:fldCharType="begin"/>
      </w:r>
      <w:r>
        <w:rPr>
          <w:rFonts w:ascii="Times New Roman" w:hAnsi="Times New Roman"/>
          <w:sz w:val="22"/>
          <w:szCs w:val="22"/>
        </w:rPr>
        <w:instrText xml:space="preserve"> ADDIN EN.CITE &lt;EndNote&gt;&lt;Cite ExcludeAuth="1"&gt;&lt;Author&gt;DeMartino&lt;/Author&gt;&lt;Year&gt;2011&lt;/Year&gt;&lt;RecNum&gt;544&lt;/RecNum&gt;&lt;Pages&gt;9-11`,17`,fns1`,5`,141-50&lt;/Pages&gt;&lt;DisplayText&gt;(2011, 9-11,17,fns1,5,141-50, 2013)&lt;/DisplayText&gt;&lt;record&gt;&lt;rec-number&gt;544&lt;/rec-number&gt;&lt;foreign-keys&gt;&lt;key app="EN" db-id="x2xf5e95kefpz8e59fcx5psgerr9wepetvet" timestamp="1427669069"&gt;544&lt;/key&gt;&lt;/foreign-keys&gt;&lt;ref-type name="Book"&gt;6&lt;/ref-type&gt;&lt;contributors&gt;&lt;authors&gt;&lt;author&gt;DeMartino, George F.&lt;/author&gt;&lt;/authors&gt;&lt;/contributors&gt;&lt;titles&gt;&lt;title&gt;The Economist&amp;apos;s Oath:  On the Need for and Content of Professional Economic Ethics&lt;/title&gt;&lt;/titles&gt;&lt;dates&gt;&lt;year&gt;2011&lt;/year&gt;&lt;/dates&gt;&lt;pub-location&gt;Oxford&lt;/pub-location&gt;&lt;publisher&gt;Oxford University Press&lt;/publisher&gt;&lt;urls&gt;&lt;/urls&gt;&lt;/record&gt;&lt;/Cite&gt;&lt;Cite ExcludeAuth="1"&gt;&lt;Author&gt;DeMartino&lt;/Author&gt;&lt;Year&gt;2013&lt;/Year&gt;&lt;RecNum&gt;1859&lt;/RecNum&gt;&lt;record&gt;&lt;rec-number&gt;1859&lt;/rec-number&gt;&lt;foreign-keys&gt;&lt;key app="EN" db-id="x2xf5e95kefpz8e59fcx5psgerr9wepetvet" timestamp="1481832658"&gt;1859&lt;/key&gt;&lt;/foreign-keys&gt;&lt;ref-type name="Journal Article"&gt;17&lt;/ref-type&gt;&lt;contributors&gt;&lt;authors&gt;&lt;author&gt;DeMartino, George F.&lt;/author&gt;&lt;/authors&gt;&lt;/contributors&gt;&lt;titles&gt;&lt;title&gt;Ethical Engagement in a World Beyond Control&lt;/title&gt;&lt;secondary-title&gt;Rethinking Marxism&lt;/secondary-title&gt;&lt;/titles&gt;&lt;periodical&gt;&lt;full-title&gt;Rethinking Marxism&lt;/full-title&gt;&lt;/periodical&gt;&lt;pages&gt;483-500&lt;/pages&gt;&lt;volume&gt;25&lt;/volume&gt;&lt;number&gt;4&lt;/number&gt;&lt;dates&gt;&lt;year&gt;2013&lt;/year&gt;&lt;/dates&gt;&lt;urls&gt;&lt;/urls&gt;&lt;/record&gt;&lt;/Cite&gt;&lt;/EndNote&gt;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(2011, 9-11,17,fns1,5,141-50, 2013)</w:t>
      </w:r>
      <w:r>
        <w:rPr>
          <w:rFonts w:ascii="Times New Roman" w:hAnsi="Times New Roman"/>
          <w:sz w:val="22"/>
          <w:szCs w:val="22"/>
        </w:rPr>
        <w:fldChar w:fldCharType="end"/>
      </w:r>
      <w:r w:rsidRPr="001B1CEE">
        <w:rPr>
          <w:rFonts w:ascii="Times New Roman" w:hAnsi="Times New Roman"/>
          <w:sz w:val="22"/>
          <w:szCs w:val="22"/>
        </w:rPr>
        <w:t xml:space="preserve">, Easterly </w:t>
      </w:r>
      <w:r>
        <w:rPr>
          <w:rFonts w:ascii="Times New Roman" w:hAnsi="Times New Roman"/>
          <w:sz w:val="22"/>
          <w:szCs w:val="22"/>
        </w:rPr>
        <w:fldChar w:fldCharType="begin"/>
      </w:r>
      <w:r>
        <w:rPr>
          <w:rFonts w:ascii="Times New Roman" w:hAnsi="Times New Roman"/>
          <w:sz w:val="22"/>
          <w:szCs w:val="22"/>
        </w:rPr>
        <w:instrText xml:space="preserve"> ADDIN EN.CITE &lt;EndNote&gt;&lt;Cite ExcludeAuth="1"&gt;&lt;Author&gt;Easterly&lt;/Author&gt;&lt;Year&gt;2008&lt;/Year&gt;&lt;RecNum&gt;1465&lt;/RecNum&gt;&lt;DisplayText&gt;(2008)&lt;/DisplayText&gt;&lt;record&gt;&lt;rec-number&gt;1465&lt;/rec-number&gt;&lt;foreign-keys&gt;&lt;key app="EN" db-id="x2xf5e95kefpz8e59fcx5psgerr9wepetvet" timestamp="1449448306"&gt;1465&lt;/key&gt;&lt;/foreign-keys&gt;&lt;ref-type name="Book Section"&gt;5&lt;/ref-type&gt;&lt;contributors&gt;&lt;authors&gt;&lt;author&gt;Easterly, William&lt;/author&gt;&lt;/authors&gt;&lt;secondary-authors&gt;&lt;author&gt;Easterly, William&lt;/author&gt;&lt;/secondary-authors&gt;&lt;/contributors&gt;&lt;titles&gt;&lt;title&gt;Introduction: Can&amp;apos;t Take It Anymore?&lt;/title&gt;&lt;secondary-title&gt;Reinventing Foreign Aid&lt;/secondary-title&gt;&lt;/titles&gt;&lt;pages&gt;1-44&lt;/pages&gt;&lt;dates&gt;&lt;year&gt;2008&lt;/year&gt;&lt;/dates&gt;&lt;pub-location&gt;Cambridge, MA&lt;/pub-location&gt;&lt;publisher&gt;MIT Press&lt;/publisher&gt;&lt;urls&gt;&lt;/urls&gt;&lt;/record&gt;&lt;/Cite&gt;&lt;/EndNote&gt;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(2008)</w:t>
      </w:r>
      <w:r>
        <w:rPr>
          <w:rFonts w:ascii="Times New Roman" w:hAnsi="Times New Roman"/>
          <w:sz w:val="22"/>
          <w:szCs w:val="22"/>
        </w:rPr>
        <w:fldChar w:fldCharType="end"/>
      </w:r>
      <w:r w:rsidRPr="001B1CEE">
        <w:rPr>
          <w:rFonts w:ascii="Times New Roman" w:hAnsi="Times New Roman"/>
          <w:sz w:val="22"/>
          <w:szCs w:val="22"/>
        </w:rPr>
        <w:t xml:space="preserve">, </w:t>
      </w:r>
      <w:proofErr w:type="spellStart"/>
      <w:r w:rsidRPr="001B1CEE">
        <w:rPr>
          <w:rFonts w:ascii="Times New Roman" w:hAnsi="Times New Roman"/>
          <w:sz w:val="22"/>
          <w:szCs w:val="22"/>
        </w:rPr>
        <w:t>Ellerman</w:t>
      </w:r>
      <w:proofErr w:type="spellEnd"/>
      <w:r w:rsidRPr="001B1CEE">
        <w:rPr>
          <w:rFonts w:ascii="Times New Roman" w:hAnsi="Times New Roman"/>
          <w:sz w:val="22"/>
          <w:szCs w:val="22"/>
        </w:rPr>
        <w:t xml:space="preserve"> </w:t>
      </w:r>
      <w:r>
        <w:rPr>
          <w:rFonts w:ascii="Times New Roman" w:hAnsi="Times New Roman"/>
          <w:sz w:val="22"/>
          <w:szCs w:val="22"/>
        </w:rPr>
        <w:fldChar w:fldCharType="begin"/>
      </w:r>
      <w:r>
        <w:rPr>
          <w:rFonts w:ascii="Times New Roman" w:hAnsi="Times New Roman"/>
          <w:sz w:val="22"/>
          <w:szCs w:val="22"/>
        </w:rPr>
        <w:instrText xml:space="preserve"> ADDIN EN.CITE &lt;EndNote&gt;&lt;Cite ExcludeAuth="1"&gt;&lt;Author&gt;Ellerman&lt;/Author&gt;&lt;Year&gt;2005&lt;/Year&gt;&lt;RecNum&gt;539&lt;/RecNum&gt;&lt;DisplayText&gt;(2005)&lt;/DisplayText&gt;&lt;record&gt;&lt;rec-number&gt;539&lt;/rec-number&gt;&lt;foreign-keys&gt;&lt;key app="EN" db-id="x2xf5e95kefpz8e59fcx5psgerr9wepetvet" timestamp="1427662182"&gt;539&lt;/key&gt;&lt;/foreign-keys&gt;&lt;ref-type name="Book"&gt;6&lt;/ref-type&gt;&lt;contributors&gt;&lt;authors&gt;&lt;author&gt;Ellerman, David&lt;/author&gt;&lt;/authors&gt;&lt;/contributors&gt;&lt;titles&gt;&lt;title&gt;Helping People Help Themselves&lt;/title&gt;&lt;/titles&gt;&lt;dates&gt;&lt;year&gt;2005&lt;/year&gt;&lt;/dates&gt;&lt;pub-location&gt;Ann Arbor&lt;/pub-location&gt;&lt;publisher&gt;University of Michigan Press&lt;/publisher&gt;&lt;urls&gt;&lt;/urls&gt;&lt;/record&gt;&lt;/Cite&gt;&lt;/EndNote&gt;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(2005)</w:t>
      </w:r>
      <w:r>
        <w:rPr>
          <w:rFonts w:ascii="Times New Roman" w:hAnsi="Times New Roman"/>
          <w:sz w:val="22"/>
          <w:szCs w:val="22"/>
        </w:rPr>
        <w:fldChar w:fldCharType="end"/>
      </w:r>
      <w:r w:rsidRPr="001B1CEE">
        <w:rPr>
          <w:rFonts w:ascii="Times New Roman" w:hAnsi="Times New Roman"/>
          <w:sz w:val="22"/>
          <w:szCs w:val="22"/>
        </w:rPr>
        <w:t xml:space="preserve">, and </w:t>
      </w:r>
      <w:proofErr w:type="spellStart"/>
      <w:r w:rsidRPr="001B1CEE">
        <w:rPr>
          <w:rFonts w:ascii="Times New Roman" w:hAnsi="Times New Roman"/>
          <w:sz w:val="22"/>
          <w:szCs w:val="22"/>
        </w:rPr>
        <w:t>Rodrik</w:t>
      </w:r>
      <w:proofErr w:type="spellEnd"/>
      <w:r w:rsidRPr="001B1CEE">
        <w:rPr>
          <w:rFonts w:ascii="Times New Roman" w:hAnsi="Times New Roman"/>
          <w:sz w:val="22"/>
          <w:szCs w:val="22"/>
        </w:rPr>
        <w:t xml:space="preserve"> </w:t>
      </w:r>
      <w:r>
        <w:rPr>
          <w:rFonts w:ascii="Times New Roman" w:hAnsi="Times New Roman"/>
          <w:sz w:val="22"/>
          <w:szCs w:val="22"/>
        </w:rPr>
        <w:fldChar w:fldCharType="begin"/>
      </w:r>
      <w:r>
        <w:rPr>
          <w:rFonts w:ascii="Times New Roman" w:hAnsi="Times New Roman"/>
          <w:sz w:val="22"/>
          <w:szCs w:val="22"/>
        </w:rPr>
        <w:instrText xml:space="preserve"> ADDIN EN.CITE &lt;EndNote&gt;&lt;Cite ExcludeAuth="1"&gt;&lt;Author&gt;Rodrik&lt;/Author&gt;&lt;Year&gt;2007&lt;/Year&gt;&lt;RecNum&gt;587&lt;/RecNum&gt;&lt;DisplayText&gt;(2007)&lt;/DisplayText&gt;&lt;record&gt;&lt;rec-number&gt;587&lt;/rec-number&gt;&lt;foreign-keys&gt;&lt;key app="EN" db-id="x2xf5e95kefpz8e59fcx5psgerr9wepetvet" timestamp="1427926581"&gt;587&lt;/key&gt;&lt;/foreign-keys&gt;&lt;ref-type name="Book"&gt;6&lt;/ref-type&gt;&lt;contributors&gt;&lt;authors&gt;&lt;author&gt;Rodrik, Dani&lt;/author&gt;&lt;/authors&gt;&lt;/contributors&gt;&lt;titles&gt;&lt;title&gt;One Economics, Many Recipes&lt;/title&gt;&lt;/titles&gt;&lt;dates&gt;&lt;year&gt;2007&lt;/year&gt;&lt;/dates&gt;&lt;pub-location&gt;Princeton, NJ&lt;/pub-location&gt;&lt;publisher&gt;Princeton University Press&lt;/publisher&gt;&lt;urls&gt;&lt;/urls&gt;&lt;/record&gt;&lt;/Cite&gt;&lt;/EndNote&gt;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(2007)</w:t>
      </w:r>
      <w:r>
        <w:rPr>
          <w:rFonts w:ascii="Times New Roman" w:hAnsi="Times New Roman"/>
          <w:sz w:val="22"/>
          <w:szCs w:val="22"/>
        </w:rPr>
        <w:fldChar w:fldCharType="end"/>
      </w:r>
      <w:r w:rsidRPr="001B1CEE">
        <w:rPr>
          <w:rFonts w:ascii="Times New Roman" w:hAnsi="Times New Roman"/>
          <w:sz w:val="22"/>
          <w:szCs w:val="22"/>
        </w:rPr>
        <w:t xml:space="preserve">. </w:t>
      </w:r>
    </w:p>
  </w:footnote>
  <w:footnote w:id="5">
    <w:p w14:paraId="67CFBFCF" w14:textId="6BF76E17" w:rsidR="00AB05A5" w:rsidRPr="007D740B" w:rsidRDefault="00AB05A5" w:rsidP="00E8035C">
      <w:pPr>
        <w:pStyle w:val="FootnoteText"/>
        <w:rPr>
          <w:rFonts w:ascii="Times New Roman" w:hAnsi="Times New Roman"/>
          <w:sz w:val="22"/>
          <w:szCs w:val="22"/>
        </w:rPr>
      </w:pPr>
      <w:r w:rsidRPr="007D740B">
        <w:rPr>
          <w:rStyle w:val="FootnoteReference"/>
          <w:rFonts w:ascii="Times New Roman" w:hAnsi="Times New Roman"/>
          <w:sz w:val="22"/>
          <w:szCs w:val="22"/>
        </w:rPr>
        <w:footnoteRef/>
      </w:r>
      <w:r w:rsidRPr="007D740B">
        <w:rPr>
          <w:rFonts w:ascii="Times New Roman" w:hAnsi="Times New Roman"/>
          <w:sz w:val="22"/>
          <w:szCs w:val="22"/>
        </w:rPr>
        <w:t xml:space="preserve"> </w:t>
      </w:r>
      <w:r>
        <w:rPr>
          <w:rFonts w:ascii="Times New Roman" w:hAnsi="Times New Roman"/>
          <w:sz w:val="22"/>
          <w:szCs w:val="22"/>
        </w:rPr>
        <w:t>Even CMIM skeptics acknowledge t</w:t>
      </w:r>
      <w:r w:rsidRPr="007D740B">
        <w:rPr>
          <w:rFonts w:ascii="Times New Roman" w:hAnsi="Times New Roman"/>
          <w:sz w:val="22"/>
          <w:szCs w:val="22"/>
        </w:rPr>
        <w:t xml:space="preserve">hat another crisis may propel further development </w:t>
      </w:r>
      <w:r>
        <w:rPr>
          <w:rFonts w:ascii="Times New Roman" w:hAnsi="Times New Roman"/>
          <w:sz w:val="22"/>
          <w:szCs w:val="22"/>
        </w:rPr>
        <w:fldChar w:fldCharType="begin"/>
      </w:r>
      <w:r>
        <w:rPr>
          <w:rFonts w:ascii="Times New Roman" w:hAnsi="Times New Roman"/>
          <w:sz w:val="22"/>
          <w:szCs w:val="22"/>
        </w:rPr>
        <w:instrText xml:space="preserve"> ADDIN EN.CITE &lt;EndNote&gt;&lt;Cite&gt;&lt;Author&gt;Grimes&lt;/Author&gt;&lt;Year&gt;2015&lt;/Year&gt;&lt;RecNum&gt;1709&lt;/RecNum&gt;&lt;Prefix&gt;e.g. &lt;/Prefix&gt;&lt;DisplayText&gt;(e.g. Grimes 2015)&lt;/DisplayText&gt;&lt;record&gt;&lt;rec-number&gt;1709&lt;/rec-number&gt;&lt;foreign-keys&gt;&lt;key app="EN" db-id="x2xf5e95kefpz8e59fcx5psgerr9wepetvet" timestamp="1475501009"&gt;1709&lt;/key&gt;&lt;/foreign-keys&gt;&lt;ref-type name="Journal Article"&gt;17&lt;/ref-type&gt;&lt;contributors&gt;&lt;authors&gt;&lt;author&gt;Grimes, William&lt;/author&gt;&lt;/authors&gt;&lt;/contributors&gt;&lt;titles&gt;&lt;title&gt;East Asian Financial Regionalism: Why Economic Enhancements Undermine Political Sustainability&lt;/title&gt;&lt;secondary-title&gt;Contemporary Politics&lt;/secondary-title&gt;&lt;/titles&gt;&lt;periodical&gt;&lt;full-title&gt;Contemporary Politics&lt;/full-title&gt;&lt;/periodical&gt;&lt;pages&gt;145-60&lt;/pages&gt;&lt;volume&gt;21&lt;/volume&gt;&lt;number&gt;2&lt;/number&gt;&lt;dates&gt;&lt;year&gt;2015&lt;/year&gt;&lt;/dates&gt;&lt;urls&gt;&lt;/urls&gt;&lt;/record&gt;&lt;/Cite&gt;&lt;/EndNote&gt;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(e.g. Grimes 2015)</w:t>
      </w:r>
      <w:r>
        <w:rPr>
          <w:rFonts w:ascii="Times New Roman" w:hAnsi="Times New Roman"/>
          <w:sz w:val="22"/>
          <w:szCs w:val="22"/>
        </w:rPr>
        <w:fldChar w:fldCharType="end"/>
      </w:r>
      <w:r w:rsidRPr="007D740B">
        <w:rPr>
          <w:rFonts w:ascii="Times New Roman" w:hAnsi="Times New Roman"/>
          <w:sz w:val="22"/>
          <w:szCs w:val="22"/>
        </w:rPr>
        <w:t>.</w:t>
      </w:r>
    </w:p>
  </w:footnote>
  <w:footnote w:id="6">
    <w:p w14:paraId="27FE615C" w14:textId="77777777" w:rsidR="00AB05A5" w:rsidRPr="007D740B" w:rsidRDefault="00AB05A5" w:rsidP="00E8035C">
      <w:pPr>
        <w:pStyle w:val="FootnoteText"/>
        <w:rPr>
          <w:rFonts w:ascii="Times New Roman" w:hAnsi="Times New Roman"/>
          <w:sz w:val="22"/>
          <w:szCs w:val="22"/>
        </w:rPr>
      </w:pPr>
      <w:r w:rsidRPr="007D740B">
        <w:rPr>
          <w:rStyle w:val="FootnoteReference"/>
          <w:rFonts w:ascii="Times New Roman" w:hAnsi="Times New Roman"/>
          <w:sz w:val="22"/>
          <w:szCs w:val="22"/>
        </w:rPr>
        <w:footnoteRef/>
      </w:r>
      <w:r w:rsidRPr="007D740B">
        <w:rPr>
          <w:rFonts w:ascii="Times New Roman" w:hAnsi="Times New Roman"/>
          <w:sz w:val="22"/>
          <w:szCs w:val="22"/>
        </w:rPr>
        <w:t xml:space="preserve"> </w:t>
      </w:r>
      <w:proofErr w:type="gramStart"/>
      <w:r w:rsidRPr="007D740B">
        <w:rPr>
          <w:rFonts w:ascii="Times New Roman" w:hAnsi="Times New Roman"/>
          <w:sz w:val="22"/>
          <w:szCs w:val="22"/>
        </w:rPr>
        <w:t>Personal communication with CMIM official.</w:t>
      </w:r>
      <w:proofErr w:type="gramEnd"/>
    </w:p>
  </w:footnote>
  <w:footnote w:id="7">
    <w:p w14:paraId="64E9D53F" w14:textId="02F511AB" w:rsidR="00AB05A5" w:rsidRPr="007D740B" w:rsidRDefault="00AB05A5" w:rsidP="00E8035C">
      <w:pPr>
        <w:pStyle w:val="FootnoteText"/>
        <w:spacing w:line="360" w:lineRule="auto"/>
        <w:rPr>
          <w:rFonts w:ascii="Times New Roman" w:hAnsi="Times New Roman"/>
          <w:sz w:val="22"/>
          <w:szCs w:val="22"/>
        </w:rPr>
      </w:pPr>
      <w:r w:rsidRPr="007D740B">
        <w:rPr>
          <w:rStyle w:val="FootnoteReference"/>
          <w:rFonts w:ascii="Times New Roman" w:hAnsi="Times New Roman"/>
          <w:sz w:val="22"/>
          <w:szCs w:val="22"/>
        </w:rPr>
        <w:footnoteRef/>
      </w:r>
      <w:r w:rsidRPr="007D740B">
        <w:rPr>
          <w:rFonts w:ascii="Times New Roman" w:hAnsi="Times New Roman"/>
          <w:sz w:val="22"/>
          <w:szCs w:val="22"/>
        </w:rPr>
        <w:t xml:space="preserve"> Ecuador (2005, 2009)</w:t>
      </w:r>
      <w:r>
        <w:rPr>
          <w:rFonts w:ascii="Times New Roman" w:hAnsi="Times New Roman"/>
          <w:sz w:val="22"/>
          <w:szCs w:val="22"/>
        </w:rPr>
        <w:t xml:space="preserve"> is an exception</w:t>
      </w:r>
      <w:r w:rsidRPr="007D740B">
        <w:rPr>
          <w:rFonts w:ascii="Times New Roman" w:hAnsi="Times New Roman"/>
          <w:sz w:val="22"/>
          <w:szCs w:val="22"/>
        </w:rPr>
        <w:t xml:space="preserve"> </w:t>
      </w:r>
      <w:r>
        <w:rPr>
          <w:rFonts w:ascii="Times New Roman" w:hAnsi="Times New Roman"/>
          <w:sz w:val="22"/>
          <w:szCs w:val="22"/>
        </w:rPr>
        <w:fldChar w:fldCharType="begin"/>
      </w:r>
      <w:r>
        <w:rPr>
          <w:rFonts w:ascii="Times New Roman" w:hAnsi="Times New Roman"/>
          <w:sz w:val="22"/>
          <w:szCs w:val="22"/>
        </w:rPr>
        <w:instrText xml:space="preserve"> ADDIN EN.CITE &lt;EndNote&gt;&lt;Cite&gt;&lt;Author&gt;Rosero&lt;/Author&gt;&lt;Year&gt;2014&lt;/Year&gt;&lt;RecNum&gt;557&lt;/RecNum&gt;&lt;Pages&gt;75&lt;/Pages&gt;&lt;DisplayText&gt;(Rosero 2014, 75)&lt;/DisplayText&gt;&lt;record&gt;&lt;rec-number&gt;557&lt;/rec-number&gt;&lt;foreign-keys&gt;&lt;key app="EN" db-id="x2xf5e95kefpz8e59fcx5psgerr9wepetvet" timestamp="1427740405"&gt;557&lt;/key&gt;&lt;/foreign-keys&gt;&lt;ref-type name="Journal Article"&gt;17&lt;/ref-type&gt;&lt;contributors&gt;&lt;authors&gt;&lt;author&gt;Rosero, Luis&lt;/author&gt;&lt;/authors&gt;&lt;/contributors&gt;&lt;titles&gt;&lt;title&gt;Regional Pooling of International Reserves: The Latin American Reserve Fund in Perspective&lt;/title&gt;&lt;secondary-title&gt;Latin American Policy&lt;/secondary-title&gt;&lt;/titles&gt;&lt;periodical&gt;&lt;full-title&gt;Latin American Policy&lt;/full-title&gt;&lt;/periodical&gt;&lt;pages&gt;62-86&lt;/pages&gt;&lt;volume&gt;5&lt;/volume&gt;&lt;number&gt;1&lt;/number&gt;&lt;dates&gt;&lt;year&gt;2014&lt;/year&gt;&lt;/dates&gt;&lt;urls&gt;&lt;/urls&gt;&lt;/record&gt;&lt;/Cite&gt;&lt;/EndNote&gt;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(Rosero 2014, 75)</w:t>
      </w:r>
      <w:r>
        <w:rPr>
          <w:rFonts w:ascii="Times New Roman" w:hAnsi="Times New Roman"/>
          <w:sz w:val="22"/>
          <w:szCs w:val="22"/>
        </w:rPr>
        <w:fldChar w:fldCharType="end"/>
      </w:r>
      <w:r w:rsidRPr="00015902">
        <w:rPr>
          <w:rFonts w:ascii="Times New Roman" w:hAnsi="Times New Roman"/>
          <w:sz w:val="22"/>
          <w:szCs w:val="22"/>
        </w:rPr>
        <w:t>.</w:t>
      </w:r>
    </w:p>
  </w:footnote>
  <w:footnote w:id="8">
    <w:p w14:paraId="79A6AF05" w14:textId="0E9C39C2" w:rsidR="00AB05A5" w:rsidRPr="007D740B" w:rsidRDefault="00AB05A5" w:rsidP="00E8035C">
      <w:pPr>
        <w:pStyle w:val="FootnoteText"/>
        <w:rPr>
          <w:rFonts w:ascii="Times New Roman" w:hAnsi="Times New Roman"/>
          <w:sz w:val="22"/>
          <w:szCs w:val="22"/>
        </w:rPr>
      </w:pPr>
      <w:r w:rsidRPr="007D740B">
        <w:rPr>
          <w:rStyle w:val="FootnoteReference"/>
          <w:rFonts w:ascii="Times New Roman" w:hAnsi="Times New Roman"/>
          <w:sz w:val="22"/>
          <w:szCs w:val="22"/>
        </w:rPr>
        <w:footnoteRef/>
      </w:r>
      <w:r w:rsidRPr="007D740B">
        <w:rPr>
          <w:rFonts w:ascii="Times New Roman" w:hAnsi="Times New Roman"/>
          <w:sz w:val="22"/>
          <w:szCs w:val="22"/>
        </w:rPr>
        <w:t xml:space="preserve"> Intra-BRICS cooperation continues to evolve</w:t>
      </w:r>
      <w:r>
        <w:rPr>
          <w:rFonts w:ascii="Times New Roman" w:hAnsi="Times New Roman"/>
          <w:sz w:val="22"/>
          <w:szCs w:val="22"/>
        </w:rPr>
        <w:t xml:space="preserve"> and stall </w:t>
      </w:r>
      <w:r>
        <w:rPr>
          <w:rFonts w:ascii="Times New Roman" w:hAnsi="Times New Roman"/>
          <w:sz w:val="22"/>
          <w:szCs w:val="22"/>
        </w:rPr>
        <w:fldChar w:fldCharType="begin"/>
      </w:r>
      <w:r>
        <w:rPr>
          <w:rFonts w:ascii="Times New Roman" w:hAnsi="Times New Roman"/>
          <w:sz w:val="22"/>
          <w:szCs w:val="22"/>
        </w:rPr>
        <w:instrText xml:space="preserve"> ADDIN EN.CITE &lt;EndNote&gt;&lt;Cite&gt;&lt;Author&gt;Wang&lt;/Author&gt;&lt;Year&gt;2018&lt;/Year&gt;&lt;RecNum&gt;1966&lt;/RecNum&gt;&lt;DisplayText&gt;(Wang 2018)&lt;/DisplayText&gt;&lt;record&gt;&lt;rec-number&gt;1966&lt;/rec-number&gt;&lt;foreign-keys&gt;&lt;key app="EN" db-id="x2xf5e95kefpz8e59fcx5psgerr9wepetvet" timestamp="1532983000"&gt;1966&lt;/key&gt;&lt;/foreign-keys&gt;&lt;ref-type name="Report"&gt;27&lt;/ref-type&gt;&lt;contributors&gt;&lt;authors&gt;&lt;author&gt;Wang, Hongying&lt;/author&gt;&lt;/authors&gt;&lt;/contributors&gt;&lt;titles&gt;&lt;title&gt;&lt;style face="normal" font="default" size="100%"&gt;The NDB and the AIIB: China&amp;apos;s Ambiguous Approach to Global Financial Governance, submitted for consideration in special issue of &lt;/style&gt;&lt;style face="italic" font="default" size="100%"&gt;Development and Change&lt;/style&gt;&lt;/title&gt;&lt;/titles&gt;&lt;dates&gt;&lt;year&gt;2018&lt;/year&gt;&lt;/dates&gt;&lt;urls&gt;&lt;/urls&gt;&lt;/record&gt;&lt;/Cite&gt;&lt;/EndNote&gt;</w:instrText>
      </w:r>
      <w:r>
        <w:rPr>
          <w:rFonts w:ascii="Times New Roman" w:hAnsi="Times New Roman"/>
          <w:sz w:val="22"/>
          <w:szCs w:val="22"/>
        </w:rPr>
        <w:fldChar w:fldCharType="separate"/>
      </w:r>
      <w:r>
        <w:rPr>
          <w:rFonts w:ascii="Times New Roman" w:hAnsi="Times New Roman"/>
          <w:noProof/>
          <w:sz w:val="22"/>
          <w:szCs w:val="22"/>
        </w:rPr>
        <w:t>(Wang 2018)</w:t>
      </w:r>
      <w:r>
        <w:rPr>
          <w:rFonts w:ascii="Times New Roman" w:hAnsi="Times New Roman"/>
          <w:sz w:val="22"/>
          <w:szCs w:val="22"/>
        </w:rPr>
        <w:fldChar w:fldCharType="end"/>
      </w:r>
      <w:r>
        <w:rPr>
          <w:rFonts w:ascii="Times New Roman" w:hAnsi="Times New Roman"/>
          <w:sz w:val="22"/>
          <w:szCs w:val="22"/>
        </w:rPr>
        <w:t>.</w:t>
      </w:r>
    </w:p>
    <w:p w14:paraId="0A954A8E" w14:textId="77777777" w:rsidR="00AB05A5" w:rsidRPr="007D740B" w:rsidRDefault="00AB05A5" w:rsidP="00E8035C">
      <w:pPr>
        <w:widowControl w:val="0"/>
        <w:autoSpaceDE w:val="0"/>
        <w:autoSpaceDN w:val="0"/>
        <w:adjustRightInd w:val="0"/>
        <w:rPr>
          <w:rFonts w:ascii="Times New Roman" w:hAnsi="Times New Roman" w:cs="Arial"/>
          <w:sz w:val="22"/>
          <w:szCs w:val="22"/>
        </w:rPr>
      </w:pPr>
    </w:p>
  </w:footnote>
  <w:footnote w:id="9">
    <w:p w14:paraId="40096EE5" w14:textId="77777777" w:rsidR="00AB05A5" w:rsidRPr="007D740B" w:rsidRDefault="00AB05A5" w:rsidP="00E8035C">
      <w:pPr>
        <w:pStyle w:val="FootnoteText"/>
        <w:rPr>
          <w:rFonts w:ascii="Times New Roman" w:hAnsi="Times New Roman"/>
          <w:sz w:val="22"/>
          <w:szCs w:val="22"/>
        </w:rPr>
      </w:pPr>
      <w:r w:rsidRPr="007D740B">
        <w:rPr>
          <w:rStyle w:val="FootnoteReference"/>
          <w:rFonts w:ascii="Times New Roman" w:hAnsi="Times New Roman"/>
          <w:sz w:val="22"/>
          <w:szCs w:val="22"/>
        </w:rPr>
        <w:footnoteRef/>
      </w:r>
      <w:r w:rsidRPr="007D740B">
        <w:rPr>
          <w:rFonts w:ascii="Times New Roman" w:hAnsi="Times New Roman"/>
          <w:sz w:val="22"/>
          <w:szCs w:val="22"/>
        </w:rPr>
        <w:t xml:space="preserve"> Discussion</w:t>
      </w:r>
      <w:r>
        <w:rPr>
          <w:rFonts w:ascii="Times New Roman" w:hAnsi="Times New Roman"/>
          <w:sz w:val="22"/>
          <w:szCs w:val="22"/>
        </w:rPr>
        <w:t>s</w:t>
      </w:r>
      <w:r w:rsidRPr="007D740B">
        <w:rPr>
          <w:rFonts w:ascii="Times New Roman" w:hAnsi="Times New Roman"/>
          <w:sz w:val="22"/>
          <w:szCs w:val="22"/>
        </w:rPr>
        <w:t xml:space="preserve"> of the </w:t>
      </w:r>
      <w:r>
        <w:rPr>
          <w:rFonts w:ascii="Times New Roman" w:hAnsi="Times New Roman"/>
          <w:sz w:val="22"/>
          <w:szCs w:val="22"/>
        </w:rPr>
        <w:t>NDB</w:t>
      </w:r>
      <w:r w:rsidRPr="007D740B">
        <w:rPr>
          <w:rFonts w:ascii="Times New Roman" w:hAnsi="Times New Roman"/>
          <w:sz w:val="22"/>
          <w:szCs w:val="22"/>
        </w:rPr>
        <w:t xml:space="preserve"> break down along </w:t>
      </w:r>
      <w:r>
        <w:rPr>
          <w:rFonts w:ascii="Times New Roman" w:hAnsi="Times New Roman"/>
          <w:sz w:val="22"/>
          <w:szCs w:val="22"/>
        </w:rPr>
        <w:t xml:space="preserve">the same </w:t>
      </w:r>
      <w:proofErr w:type="spellStart"/>
      <w:r w:rsidRPr="007D740B">
        <w:rPr>
          <w:rFonts w:ascii="Times New Roman" w:hAnsi="Times New Roman"/>
          <w:sz w:val="22"/>
          <w:szCs w:val="22"/>
        </w:rPr>
        <w:t>futilist</w:t>
      </w:r>
      <w:proofErr w:type="spellEnd"/>
      <w:r w:rsidRPr="007D740B">
        <w:rPr>
          <w:rFonts w:ascii="Times New Roman" w:hAnsi="Times New Roman"/>
          <w:sz w:val="22"/>
          <w:szCs w:val="22"/>
        </w:rPr>
        <w:t xml:space="preserve"> and </w:t>
      </w:r>
      <w:proofErr w:type="spellStart"/>
      <w:r w:rsidRPr="007D740B">
        <w:rPr>
          <w:rFonts w:ascii="Times New Roman" w:hAnsi="Times New Roman"/>
          <w:sz w:val="22"/>
          <w:szCs w:val="22"/>
        </w:rPr>
        <w:t>possibilist</w:t>
      </w:r>
      <w:proofErr w:type="spellEnd"/>
      <w:r w:rsidRPr="007D740B">
        <w:rPr>
          <w:rFonts w:ascii="Times New Roman" w:hAnsi="Times New Roman"/>
          <w:sz w:val="22"/>
          <w:szCs w:val="22"/>
        </w:rPr>
        <w:t xml:space="preserve"> lines</w:t>
      </w:r>
      <w:r>
        <w:rPr>
          <w:rFonts w:ascii="Times New Roman" w:hAnsi="Times New Roman"/>
          <w:sz w:val="22"/>
          <w:szCs w:val="22"/>
        </w:rPr>
        <w:t xml:space="preserve"> as with the CRA</w:t>
      </w:r>
      <w:r w:rsidRPr="007D740B">
        <w:rPr>
          <w:rFonts w:ascii="Times New Roman" w:hAnsi="Times New Roman"/>
          <w:sz w:val="22"/>
          <w:szCs w:val="22"/>
        </w:rPr>
        <w:t>.</w:t>
      </w:r>
    </w:p>
    <w:p w14:paraId="44F02F91" w14:textId="77777777" w:rsidR="00AB05A5" w:rsidRPr="007D740B" w:rsidRDefault="00AB05A5" w:rsidP="00E8035C">
      <w:pPr>
        <w:pStyle w:val="FootnoteText"/>
        <w:spacing w:line="360" w:lineRule="auto"/>
        <w:rPr>
          <w:rFonts w:ascii="Times New Roman" w:hAnsi="Times New Roman"/>
          <w:sz w:val="22"/>
          <w:szCs w:val="22"/>
        </w:rPr>
      </w:pPr>
      <w:r w:rsidRPr="007D740B">
        <w:rPr>
          <w:rFonts w:ascii="Times New Roman" w:hAnsi="Times New Roman"/>
          <w:sz w:val="22"/>
          <w:szCs w:val="22"/>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D341CAE"/>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icago 16th Author-Date&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xf5e95kefpz8e59fcx5psgerr9wepetvet&quot;&gt;Ilene&amp;apos;s endnote library&lt;record-ids&gt;&lt;item&gt;95&lt;/item&gt;&lt;item&gt;184&lt;/item&gt;&lt;item&gt;469&lt;/item&gt;&lt;item&gt;487&lt;/item&gt;&lt;item&gt;488&lt;/item&gt;&lt;item&gt;494&lt;/item&gt;&lt;item&gt;495&lt;/item&gt;&lt;item&gt;497&lt;/item&gt;&lt;item&gt;500&lt;/item&gt;&lt;item&gt;511&lt;/item&gt;&lt;item&gt;513&lt;/item&gt;&lt;item&gt;514&lt;/item&gt;&lt;item&gt;515&lt;/item&gt;&lt;item&gt;516&lt;/item&gt;&lt;item&gt;521&lt;/item&gt;&lt;item&gt;522&lt;/item&gt;&lt;item&gt;529&lt;/item&gt;&lt;item&gt;537&lt;/item&gt;&lt;item&gt;539&lt;/item&gt;&lt;item&gt;541&lt;/item&gt;&lt;item&gt;543&lt;/item&gt;&lt;item&gt;544&lt;/item&gt;&lt;item&gt;546&lt;/item&gt;&lt;item&gt;547&lt;/item&gt;&lt;item&gt;549&lt;/item&gt;&lt;item&gt;557&lt;/item&gt;&lt;item&gt;561&lt;/item&gt;&lt;item&gt;564&lt;/item&gt;&lt;item&gt;570&lt;/item&gt;&lt;item&gt;571&lt;/item&gt;&lt;item&gt;574&lt;/item&gt;&lt;item&gt;587&lt;/item&gt;&lt;item&gt;591&lt;/item&gt;&lt;item&gt;812&lt;/item&gt;&lt;item&gt;937&lt;/item&gt;&lt;item&gt;965&lt;/item&gt;&lt;item&gt;1050&lt;/item&gt;&lt;item&gt;1156&lt;/item&gt;&lt;item&gt;1221&lt;/item&gt;&lt;item&gt;1277&lt;/item&gt;&lt;item&gt;1390&lt;/item&gt;&lt;item&gt;1408&lt;/item&gt;&lt;item&gt;1441&lt;/item&gt;&lt;item&gt;1451&lt;/item&gt;&lt;item&gt;1465&lt;/item&gt;&lt;item&gt;1699&lt;/item&gt;&lt;item&gt;1700&lt;/item&gt;&lt;item&gt;1709&lt;/item&gt;&lt;item&gt;1711&lt;/item&gt;&lt;item&gt;1714&lt;/item&gt;&lt;item&gt;1718&lt;/item&gt;&lt;item&gt;1722&lt;/item&gt;&lt;item&gt;1725&lt;/item&gt;&lt;item&gt;1735&lt;/item&gt;&lt;item&gt;1741&lt;/item&gt;&lt;item&gt;1753&lt;/item&gt;&lt;item&gt;1778&lt;/item&gt;&lt;item&gt;1779&lt;/item&gt;&lt;item&gt;1812&lt;/item&gt;&lt;item&gt;1859&lt;/item&gt;&lt;item&gt;1866&lt;/item&gt;&lt;item&gt;1873&lt;/item&gt;&lt;item&gt;1930&lt;/item&gt;&lt;item&gt;1948&lt;/item&gt;&lt;item&gt;1950&lt;/item&gt;&lt;item&gt;1951&lt;/item&gt;&lt;item&gt;1953&lt;/item&gt;&lt;item&gt;1954&lt;/item&gt;&lt;item&gt;1956&lt;/item&gt;&lt;item&gt;1957&lt;/item&gt;&lt;item&gt;1958&lt;/item&gt;&lt;item&gt;1960&lt;/item&gt;&lt;item&gt;1961&lt;/item&gt;&lt;item&gt;1962&lt;/item&gt;&lt;item&gt;1963&lt;/item&gt;&lt;item&gt;1964&lt;/item&gt;&lt;item&gt;1965&lt;/item&gt;&lt;item&gt;1966&lt;/item&gt;&lt;item&gt;1967&lt;/item&gt;&lt;item&gt;1968&lt;/item&gt;&lt;/record-ids&gt;&lt;/item&gt;&lt;/Libraries&gt;"/>
  </w:docVars>
  <w:rsids>
    <w:rsidRoot w:val="00781F03"/>
    <w:rsid w:val="000016AD"/>
    <w:rsid w:val="00001715"/>
    <w:rsid w:val="000018C2"/>
    <w:rsid w:val="00001C88"/>
    <w:rsid w:val="00002A54"/>
    <w:rsid w:val="00002D61"/>
    <w:rsid w:val="0000427A"/>
    <w:rsid w:val="000043F2"/>
    <w:rsid w:val="000052EB"/>
    <w:rsid w:val="00006249"/>
    <w:rsid w:val="00007BB6"/>
    <w:rsid w:val="00007F2F"/>
    <w:rsid w:val="0001091C"/>
    <w:rsid w:val="00010E15"/>
    <w:rsid w:val="0001368C"/>
    <w:rsid w:val="00015046"/>
    <w:rsid w:val="00015902"/>
    <w:rsid w:val="00015F81"/>
    <w:rsid w:val="00016290"/>
    <w:rsid w:val="00017A34"/>
    <w:rsid w:val="00017B13"/>
    <w:rsid w:val="00017B69"/>
    <w:rsid w:val="000212A8"/>
    <w:rsid w:val="00022907"/>
    <w:rsid w:val="000236A8"/>
    <w:rsid w:val="000239B6"/>
    <w:rsid w:val="000239E8"/>
    <w:rsid w:val="000239FA"/>
    <w:rsid w:val="00023B32"/>
    <w:rsid w:val="00025CB8"/>
    <w:rsid w:val="00025E8B"/>
    <w:rsid w:val="00027A8E"/>
    <w:rsid w:val="000318DD"/>
    <w:rsid w:val="00032623"/>
    <w:rsid w:val="00033A2E"/>
    <w:rsid w:val="00033FE3"/>
    <w:rsid w:val="00035E9C"/>
    <w:rsid w:val="0003741A"/>
    <w:rsid w:val="000428A7"/>
    <w:rsid w:val="000454C4"/>
    <w:rsid w:val="00045857"/>
    <w:rsid w:val="00047B71"/>
    <w:rsid w:val="00047CD5"/>
    <w:rsid w:val="00047FFB"/>
    <w:rsid w:val="000500E2"/>
    <w:rsid w:val="000501BD"/>
    <w:rsid w:val="00050DCA"/>
    <w:rsid w:val="0005196D"/>
    <w:rsid w:val="00053792"/>
    <w:rsid w:val="00055060"/>
    <w:rsid w:val="00056E92"/>
    <w:rsid w:val="0006098C"/>
    <w:rsid w:val="00060CC2"/>
    <w:rsid w:val="00061A91"/>
    <w:rsid w:val="000627D0"/>
    <w:rsid w:val="000630BA"/>
    <w:rsid w:val="000642F3"/>
    <w:rsid w:val="0006746F"/>
    <w:rsid w:val="00067ACA"/>
    <w:rsid w:val="00067B8D"/>
    <w:rsid w:val="00070B44"/>
    <w:rsid w:val="00071612"/>
    <w:rsid w:val="000717F8"/>
    <w:rsid w:val="00072C98"/>
    <w:rsid w:val="000757E2"/>
    <w:rsid w:val="00076424"/>
    <w:rsid w:val="00076998"/>
    <w:rsid w:val="00080AF5"/>
    <w:rsid w:val="00082612"/>
    <w:rsid w:val="00082B56"/>
    <w:rsid w:val="00082C4D"/>
    <w:rsid w:val="000841F2"/>
    <w:rsid w:val="00087AA9"/>
    <w:rsid w:val="00087CBD"/>
    <w:rsid w:val="00087FEC"/>
    <w:rsid w:val="0009118E"/>
    <w:rsid w:val="00092BC8"/>
    <w:rsid w:val="000934A6"/>
    <w:rsid w:val="00093F3E"/>
    <w:rsid w:val="000945FC"/>
    <w:rsid w:val="00096BAE"/>
    <w:rsid w:val="00096BFC"/>
    <w:rsid w:val="00097464"/>
    <w:rsid w:val="000974FE"/>
    <w:rsid w:val="00097786"/>
    <w:rsid w:val="000979CD"/>
    <w:rsid w:val="000A045A"/>
    <w:rsid w:val="000A19FB"/>
    <w:rsid w:val="000A287D"/>
    <w:rsid w:val="000A2D25"/>
    <w:rsid w:val="000A3A69"/>
    <w:rsid w:val="000A4545"/>
    <w:rsid w:val="000A4757"/>
    <w:rsid w:val="000A50E2"/>
    <w:rsid w:val="000A6AC2"/>
    <w:rsid w:val="000B0EAB"/>
    <w:rsid w:val="000B1116"/>
    <w:rsid w:val="000B14A0"/>
    <w:rsid w:val="000B2335"/>
    <w:rsid w:val="000B2E5F"/>
    <w:rsid w:val="000B3A6B"/>
    <w:rsid w:val="000B3B3F"/>
    <w:rsid w:val="000B4085"/>
    <w:rsid w:val="000B412C"/>
    <w:rsid w:val="000B4894"/>
    <w:rsid w:val="000B64B9"/>
    <w:rsid w:val="000B64F1"/>
    <w:rsid w:val="000B66BD"/>
    <w:rsid w:val="000B7229"/>
    <w:rsid w:val="000C158A"/>
    <w:rsid w:val="000C162E"/>
    <w:rsid w:val="000C26FF"/>
    <w:rsid w:val="000C292F"/>
    <w:rsid w:val="000C483E"/>
    <w:rsid w:val="000C784D"/>
    <w:rsid w:val="000D09F2"/>
    <w:rsid w:val="000D20DC"/>
    <w:rsid w:val="000D4416"/>
    <w:rsid w:val="000D46AC"/>
    <w:rsid w:val="000D5090"/>
    <w:rsid w:val="000D7623"/>
    <w:rsid w:val="000D7826"/>
    <w:rsid w:val="000E011A"/>
    <w:rsid w:val="000E313C"/>
    <w:rsid w:val="000E4027"/>
    <w:rsid w:val="000E4132"/>
    <w:rsid w:val="000E4B0D"/>
    <w:rsid w:val="000E55D1"/>
    <w:rsid w:val="000E5D85"/>
    <w:rsid w:val="000E734A"/>
    <w:rsid w:val="000F074F"/>
    <w:rsid w:val="000F169F"/>
    <w:rsid w:val="000F1BB6"/>
    <w:rsid w:val="000F21CE"/>
    <w:rsid w:val="000F2D50"/>
    <w:rsid w:val="000F2D5D"/>
    <w:rsid w:val="000F3E2A"/>
    <w:rsid w:val="000F3EA1"/>
    <w:rsid w:val="000F6DB5"/>
    <w:rsid w:val="000F72C9"/>
    <w:rsid w:val="0010051F"/>
    <w:rsid w:val="001006A2"/>
    <w:rsid w:val="001007B4"/>
    <w:rsid w:val="00100F1D"/>
    <w:rsid w:val="001010C0"/>
    <w:rsid w:val="0010147F"/>
    <w:rsid w:val="00101A39"/>
    <w:rsid w:val="00101B33"/>
    <w:rsid w:val="00102041"/>
    <w:rsid w:val="001022B1"/>
    <w:rsid w:val="001024E4"/>
    <w:rsid w:val="00104345"/>
    <w:rsid w:val="00106131"/>
    <w:rsid w:val="00106541"/>
    <w:rsid w:val="00106D76"/>
    <w:rsid w:val="00107F58"/>
    <w:rsid w:val="001107DE"/>
    <w:rsid w:val="00112F4B"/>
    <w:rsid w:val="0011510A"/>
    <w:rsid w:val="001153FA"/>
    <w:rsid w:val="00115CCD"/>
    <w:rsid w:val="00116B54"/>
    <w:rsid w:val="00116C16"/>
    <w:rsid w:val="0011750A"/>
    <w:rsid w:val="001175EE"/>
    <w:rsid w:val="00117B8A"/>
    <w:rsid w:val="00117E97"/>
    <w:rsid w:val="0012079A"/>
    <w:rsid w:val="00121976"/>
    <w:rsid w:val="00122585"/>
    <w:rsid w:val="00122784"/>
    <w:rsid w:val="00123ED9"/>
    <w:rsid w:val="00124B25"/>
    <w:rsid w:val="00130052"/>
    <w:rsid w:val="001301CB"/>
    <w:rsid w:val="0013047A"/>
    <w:rsid w:val="00131AE5"/>
    <w:rsid w:val="00133F58"/>
    <w:rsid w:val="00134207"/>
    <w:rsid w:val="00134778"/>
    <w:rsid w:val="00135B79"/>
    <w:rsid w:val="00135E75"/>
    <w:rsid w:val="0013687E"/>
    <w:rsid w:val="00136A16"/>
    <w:rsid w:val="0014078F"/>
    <w:rsid w:val="00141433"/>
    <w:rsid w:val="0014152F"/>
    <w:rsid w:val="0014264F"/>
    <w:rsid w:val="00142735"/>
    <w:rsid w:val="001434C1"/>
    <w:rsid w:val="00143717"/>
    <w:rsid w:val="0014608B"/>
    <w:rsid w:val="00150B46"/>
    <w:rsid w:val="001524ED"/>
    <w:rsid w:val="0015418D"/>
    <w:rsid w:val="001551B9"/>
    <w:rsid w:val="00156218"/>
    <w:rsid w:val="00157E90"/>
    <w:rsid w:val="00157FA5"/>
    <w:rsid w:val="001600D1"/>
    <w:rsid w:val="001601B1"/>
    <w:rsid w:val="00166D5F"/>
    <w:rsid w:val="001673B1"/>
    <w:rsid w:val="00171453"/>
    <w:rsid w:val="00171699"/>
    <w:rsid w:val="00171CA9"/>
    <w:rsid w:val="001741BB"/>
    <w:rsid w:val="0017427A"/>
    <w:rsid w:val="0017447B"/>
    <w:rsid w:val="001750C5"/>
    <w:rsid w:val="00176E13"/>
    <w:rsid w:val="0018083B"/>
    <w:rsid w:val="00181A5B"/>
    <w:rsid w:val="0018208A"/>
    <w:rsid w:val="001820E0"/>
    <w:rsid w:val="001823A5"/>
    <w:rsid w:val="0018249A"/>
    <w:rsid w:val="00182568"/>
    <w:rsid w:val="001825FF"/>
    <w:rsid w:val="00182D59"/>
    <w:rsid w:val="001837C4"/>
    <w:rsid w:val="0018401F"/>
    <w:rsid w:val="0018568B"/>
    <w:rsid w:val="00186B59"/>
    <w:rsid w:val="00190B2C"/>
    <w:rsid w:val="00191622"/>
    <w:rsid w:val="0019192A"/>
    <w:rsid w:val="00193347"/>
    <w:rsid w:val="0019334C"/>
    <w:rsid w:val="001933AF"/>
    <w:rsid w:val="0019476B"/>
    <w:rsid w:val="00194C9F"/>
    <w:rsid w:val="0019507C"/>
    <w:rsid w:val="0019578E"/>
    <w:rsid w:val="00196A30"/>
    <w:rsid w:val="00197A96"/>
    <w:rsid w:val="001A054A"/>
    <w:rsid w:val="001A092A"/>
    <w:rsid w:val="001A28EC"/>
    <w:rsid w:val="001A2C8A"/>
    <w:rsid w:val="001A3444"/>
    <w:rsid w:val="001A39EA"/>
    <w:rsid w:val="001A55E6"/>
    <w:rsid w:val="001A5BCF"/>
    <w:rsid w:val="001A5D0B"/>
    <w:rsid w:val="001A7893"/>
    <w:rsid w:val="001B01C8"/>
    <w:rsid w:val="001B0562"/>
    <w:rsid w:val="001B10E4"/>
    <w:rsid w:val="001B17CD"/>
    <w:rsid w:val="001B1CEE"/>
    <w:rsid w:val="001B32C3"/>
    <w:rsid w:val="001B35A6"/>
    <w:rsid w:val="001B3D8D"/>
    <w:rsid w:val="001B467B"/>
    <w:rsid w:val="001B5D6F"/>
    <w:rsid w:val="001B5F84"/>
    <w:rsid w:val="001B765C"/>
    <w:rsid w:val="001B78A1"/>
    <w:rsid w:val="001C4B5D"/>
    <w:rsid w:val="001C54C8"/>
    <w:rsid w:val="001C6915"/>
    <w:rsid w:val="001C6AEC"/>
    <w:rsid w:val="001C6FB6"/>
    <w:rsid w:val="001D07EA"/>
    <w:rsid w:val="001D1998"/>
    <w:rsid w:val="001D394E"/>
    <w:rsid w:val="001D4CCD"/>
    <w:rsid w:val="001D684E"/>
    <w:rsid w:val="001E05EF"/>
    <w:rsid w:val="001E0A68"/>
    <w:rsid w:val="001E1F6C"/>
    <w:rsid w:val="001E251A"/>
    <w:rsid w:val="001E5E6F"/>
    <w:rsid w:val="001E717C"/>
    <w:rsid w:val="001F060A"/>
    <w:rsid w:val="001F1889"/>
    <w:rsid w:val="001F2286"/>
    <w:rsid w:val="001F23D5"/>
    <w:rsid w:val="001F2B61"/>
    <w:rsid w:val="001F43B2"/>
    <w:rsid w:val="001F4BDB"/>
    <w:rsid w:val="001F6265"/>
    <w:rsid w:val="001F7826"/>
    <w:rsid w:val="0020260C"/>
    <w:rsid w:val="0020285B"/>
    <w:rsid w:val="00203350"/>
    <w:rsid w:val="00203B22"/>
    <w:rsid w:val="00203FBF"/>
    <w:rsid w:val="002057BB"/>
    <w:rsid w:val="002057DA"/>
    <w:rsid w:val="00205C71"/>
    <w:rsid w:val="002070FE"/>
    <w:rsid w:val="00207DFE"/>
    <w:rsid w:val="00207E0C"/>
    <w:rsid w:val="00210132"/>
    <w:rsid w:val="00210388"/>
    <w:rsid w:val="00210A17"/>
    <w:rsid w:val="0021229D"/>
    <w:rsid w:val="0021275C"/>
    <w:rsid w:val="00212D6F"/>
    <w:rsid w:val="00214923"/>
    <w:rsid w:val="0021606D"/>
    <w:rsid w:val="0021743A"/>
    <w:rsid w:val="002177DC"/>
    <w:rsid w:val="00217E6B"/>
    <w:rsid w:val="00220D02"/>
    <w:rsid w:val="00221123"/>
    <w:rsid w:val="002213FD"/>
    <w:rsid w:val="00223049"/>
    <w:rsid w:val="00223223"/>
    <w:rsid w:val="00223568"/>
    <w:rsid w:val="00223DF4"/>
    <w:rsid w:val="0022451E"/>
    <w:rsid w:val="00225574"/>
    <w:rsid w:val="00231A2A"/>
    <w:rsid w:val="0023431D"/>
    <w:rsid w:val="0023657E"/>
    <w:rsid w:val="00243105"/>
    <w:rsid w:val="0024330F"/>
    <w:rsid w:val="0024395B"/>
    <w:rsid w:val="002442C6"/>
    <w:rsid w:val="002443FE"/>
    <w:rsid w:val="0024496D"/>
    <w:rsid w:val="00244E0A"/>
    <w:rsid w:val="0024632F"/>
    <w:rsid w:val="002474A1"/>
    <w:rsid w:val="0024757C"/>
    <w:rsid w:val="002501DD"/>
    <w:rsid w:val="002519E3"/>
    <w:rsid w:val="002528C3"/>
    <w:rsid w:val="00252A0E"/>
    <w:rsid w:val="00252E1E"/>
    <w:rsid w:val="00255541"/>
    <w:rsid w:val="0025649D"/>
    <w:rsid w:val="0025659C"/>
    <w:rsid w:val="00257074"/>
    <w:rsid w:val="002611E3"/>
    <w:rsid w:val="00261535"/>
    <w:rsid w:val="00262176"/>
    <w:rsid w:val="00262A16"/>
    <w:rsid w:val="00262D3E"/>
    <w:rsid w:val="0026387B"/>
    <w:rsid w:val="00263EED"/>
    <w:rsid w:val="00266840"/>
    <w:rsid w:val="002675C5"/>
    <w:rsid w:val="00267949"/>
    <w:rsid w:val="00267C14"/>
    <w:rsid w:val="00270A98"/>
    <w:rsid w:val="0027119F"/>
    <w:rsid w:val="00273E1F"/>
    <w:rsid w:val="002772FB"/>
    <w:rsid w:val="00277D06"/>
    <w:rsid w:val="00277EBB"/>
    <w:rsid w:val="00280AF1"/>
    <w:rsid w:val="00281659"/>
    <w:rsid w:val="0028404E"/>
    <w:rsid w:val="00285278"/>
    <w:rsid w:val="0028538D"/>
    <w:rsid w:val="0028619B"/>
    <w:rsid w:val="002875BD"/>
    <w:rsid w:val="00290C56"/>
    <w:rsid w:val="00290FA6"/>
    <w:rsid w:val="002913AC"/>
    <w:rsid w:val="0029332C"/>
    <w:rsid w:val="002945A5"/>
    <w:rsid w:val="00294BF0"/>
    <w:rsid w:val="002A0C2F"/>
    <w:rsid w:val="002A1049"/>
    <w:rsid w:val="002A1074"/>
    <w:rsid w:val="002A1C74"/>
    <w:rsid w:val="002A1D7D"/>
    <w:rsid w:val="002A4B3E"/>
    <w:rsid w:val="002A57BC"/>
    <w:rsid w:val="002A61DE"/>
    <w:rsid w:val="002A75A9"/>
    <w:rsid w:val="002B06A7"/>
    <w:rsid w:val="002B1455"/>
    <w:rsid w:val="002B1779"/>
    <w:rsid w:val="002B4205"/>
    <w:rsid w:val="002B4278"/>
    <w:rsid w:val="002B4807"/>
    <w:rsid w:val="002B4CD3"/>
    <w:rsid w:val="002B6037"/>
    <w:rsid w:val="002B61EF"/>
    <w:rsid w:val="002B7AAD"/>
    <w:rsid w:val="002C059E"/>
    <w:rsid w:val="002C23DC"/>
    <w:rsid w:val="002C49A5"/>
    <w:rsid w:val="002C508A"/>
    <w:rsid w:val="002C5510"/>
    <w:rsid w:val="002C62B9"/>
    <w:rsid w:val="002C69F2"/>
    <w:rsid w:val="002C6B9C"/>
    <w:rsid w:val="002C7E1B"/>
    <w:rsid w:val="002D11B8"/>
    <w:rsid w:val="002D1EFE"/>
    <w:rsid w:val="002D27FB"/>
    <w:rsid w:val="002D3F4A"/>
    <w:rsid w:val="002D69DD"/>
    <w:rsid w:val="002D766A"/>
    <w:rsid w:val="002E13B4"/>
    <w:rsid w:val="002E1E82"/>
    <w:rsid w:val="002E4792"/>
    <w:rsid w:val="002E487A"/>
    <w:rsid w:val="002E5AEE"/>
    <w:rsid w:val="002E67E7"/>
    <w:rsid w:val="002E69BC"/>
    <w:rsid w:val="002F19DB"/>
    <w:rsid w:val="002F28B8"/>
    <w:rsid w:val="002F2C51"/>
    <w:rsid w:val="002F33C7"/>
    <w:rsid w:val="002F37B3"/>
    <w:rsid w:val="002F3BC4"/>
    <w:rsid w:val="002F44D3"/>
    <w:rsid w:val="002F764A"/>
    <w:rsid w:val="0030112A"/>
    <w:rsid w:val="0030149E"/>
    <w:rsid w:val="00302155"/>
    <w:rsid w:val="003024C8"/>
    <w:rsid w:val="00302C55"/>
    <w:rsid w:val="003038DA"/>
    <w:rsid w:val="003038DF"/>
    <w:rsid w:val="003048D9"/>
    <w:rsid w:val="00310305"/>
    <w:rsid w:val="0031174B"/>
    <w:rsid w:val="00311AAD"/>
    <w:rsid w:val="00312400"/>
    <w:rsid w:val="00313131"/>
    <w:rsid w:val="003132B3"/>
    <w:rsid w:val="0031402C"/>
    <w:rsid w:val="00314984"/>
    <w:rsid w:val="00315748"/>
    <w:rsid w:val="00315A4F"/>
    <w:rsid w:val="00315B54"/>
    <w:rsid w:val="00315EC5"/>
    <w:rsid w:val="00316D23"/>
    <w:rsid w:val="00317112"/>
    <w:rsid w:val="003203B0"/>
    <w:rsid w:val="00320B97"/>
    <w:rsid w:val="00323A15"/>
    <w:rsid w:val="00324540"/>
    <w:rsid w:val="0032456A"/>
    <w:rsid w:val="003247ED"/>
    <w:rsid w:val="00324EEB"/>
    <w:rsid w:val="003252C8"/>
    <w:rsid w:val="00325669"/>
    <w:rsid w:val="00326A9D"/>
    <w:rsid w:val="00330307"/>
    <w:rsid w:val="00331237"/>
    <w:rsid w:val="00333B18"/>
    <w:rsid w:val="00336539"/>
    <w:rsid w:val="0033675E"/>
    <w:rsid w:val="00336EA2"/>
    <w:rsid w:val="00337D23"/>
    <w:rsid w:val="00337ED5"/>
    <w:rsid w:val="003417FE"/>
    <w:rsid w:val="003418EC"/>
    <w:rsid w:val="00345FBA"/>
    <w:rsid w:val="00347928"/>
    <w:rsid w:val="00351B7B"/>
    <w:rsid w:val="00353B16"/>
    <w:rsid w:val="00353F71"/>
    <w:rsid w:val="0035443F"/>
    <w:rsid w:val="003548FF"/>
    <w:rsid w:val="00354926"/>
    <w:rsid w:val="00355406"/>
    <w:rsid w:val="00356338"/>
    <w:rsid w:val="003578DB"/>
    <w:rsid w:val="003614ED"/>
    <w:rsid w:val="00361847"/>
    <w:rsid w:val="003618BB"/>
    <w:rsid w:val="0036277E"/>
    <w:rsid w:val="00362C66"/>
    <w:rsid w:val="00363047"/>
    <w:rsid w:val="00363222"/>
    <w:rsid w:val="00364A30"/>
    <w:rsid w:val="00364D7A"/>
    <w:rsid w:val="00371742"/>
    <w:rsid w:val="00371924"/>
    <w:rsid w:val="00373343"/>
    <w:rsid w:val="00373414"/>
    <w:rsid w:val="00375A1C"/>
    <w:rsid w:val="00377A4D"/>
    <w:rsid w:val="00381A09"/>
    <w:rsid w:val="0038598F"/>
    <w:rsid w:val="00386065"/>
    <w:rsid w:val="00386637"/>
    <w:rsid w:val="0038706E"/>
    <w:rsid w:val="003870ED"/>
    <w:rsid w:val="0038758E"/>
    <w:rsid w:val="003911C2"/>
    <w:rsid w:val="00391F9E"/>
    <w:rsid w:val="0039287C"/>
    <w:rsid w:val="003948FF"/>
    <w:rsid w:val="0039495A"/>
    <w:rsid w:val="00395434"/>
    <w:rsid w:val="00396EA5"/>
    <w:rsid w:val="003979F9"/>
    <w:rsid w:val="003A1E26"/>
    <w:rsid w:val="003A2EB2"/>
    <w:rsid w:val="003A35CD"/>
    <w:rsid w:val="003A3F61"/>
    <w:rsid w:val="003A40AC"/>
    <w:rsid w:val="003A44A8"/>
    <w:rsid w:val="003A574F"/>
    <w:rsid w:val="003A6034"/>
    <w:rsid w:val="003B16B6"/>
    <w:rsid w:val="003B18EA"/>
    <w:rsid w:val="003B22E8"/>
    <w:rsid w:val="003B29F0"/>
    <w:rsid w:val="003B30AE"/>
    <w:rsid w:val="003B697F"/>
    <w:rsid w:val="003B71D6"/>
    <w:rsid w:val="003B729E"/>
    <w:rsid w:val="003C2C10"/>
    <w:rsid w:val="003C6656"/>
    <w:rsid w:val="003C769B"/>
    <w:rsid w:val="003C7C32"/>
    <w:rsid w:val="003D1DFA"/>
    <w:rsid w:val="003D239D"/>
    <w:rsid w:val="003D2CF9"/>
    <w:rsid w:val="003D37DC"/>
    <w:rsid w:val="003D39B7"/>
    <w:rsid w:val="003D43B3"/>
    <w:rsid w:val="003D5D51"/>
    <w:rsid w:val="003D7E88"/>
    <w:rsid w:val="003E061F"/>
    <w:rsid w:val="003E1651"/>
    <w:rsid w:val="003E178D"/>
    <w:rsid w:val="003E3709"/>
    <w:rsid w:val="003E3730"/>
    <w:rsid w:val="003E490A"/>
    <w:rsid w:val="003E56E5"/>
    <w:rsid w:val="003E5D9C"/>
    <w:rsid w:val="003E6610"/>
    <w:rsid w:val="003E69AE"/>
    <w:rsid w:val="003E739A"/>
    <w:rsid w:val="003E7C5F"/>
    <w:rsid w:val="003F076D"/>
    <w:rsid w:val="003F083C"/>
    <w:rsid w:val="003F08A0"/>
    <w:rsid w:val="003F10FE"/>
    <w:rsid w:val="003F1E3A"/>
    <w:rsid w:val="003F2CEC"/>
    <w:rsid w:val="003F3D4E"/>
    <w:rsid w:val="003F480B"/>
    <w:rsid w:val="003F532C"/>
    <w:rsid w:val="003F5415"/>
    <w:rsid w:val="003F5FA5"/>
    <w:rsid w:val="003F7DDA"/>
    <w:rsid w:val="00400B29"/>
    <w:rsid w:val="00403786"/>
    <w:rsid w:val="0040391D"/>
    <w:rsid w:val="00403C63"/>
    <w:rsid w:val="00404731"/>
    <w:rsid w:val="00404D7F"/>
    <w:rsid w:val="00407B24"/>
    <w:rsid w:val="00410738"/>
    <w:rsid w:val="00410820"/>
    <w:rsid w:val="0041106B"/>
    <w:rsid w:val="00411ADF"/>
    <w:rsid w:val="00412296"/>
    <w:rsid w:val="00415487"/>
    <w:rsid w:val="00415F23"/>
    <w:rsid w:val="0041745E"/>
    <w:rsid w:val="00417D0C"/>
    <w:rsid w:val="004203A0"/>
    <w:rsid w:val="00420E96"/>
    <w:rsid w:val="00421A46"/>
    <w:rsid w:val="0042362D"/>
    <w:rsid w:val="00424304"/>
    <w:rsid w:val="004247D0"/>
    <w:rsid w:val="00424FD9"/>
    <w:rsid w:val="00425EA1"/>
    <w:rsid w:val="0042671B"/>
    <w:rsid w:val="00426E46"/>
    <w:rsid w:val="00427EFB"/>
    <w:rsid w:val="0043050F"/>
    <w:rsid w:val="004330EF"/>
    <w:rsid w:val="004334BA"/>
    <w:rsid w:val="00433A50"/>
    <w:rsid w:val="004357FE"/>
    <w:rsid w:val="00435D0F"/>
    <w:rsid w:val="004367C4"/>
    <w:rsid w:val="004367D7"/>
    <w:rsid w:val="00437648"/>
    <w:rsid w:val="00437FD1"/>
    <w:rsid w:val="00440872"/>
    <w:rsid w:val="004416D8"/>
    <w:rsid w:val="004422D8"/>
    <w:rsid w:val="004432C8"/>
    <w:rsid w:val="00443653"/>
    <w:rsid w:val="00443E98"/>
    <w:rsid w:val="00444496"/>
    <w:rsid w:val="0044546F"/>
    <w:rsid w:val="0044588C"/>
    <w:rsid w:val="00450AF2"/>
    <w:rsid w:val="00452438"/>
    <w:rsid w:val="00452C91"/>
    <w:rsid w:val="004541B2"/>
    <w:rsid w:val="00455393"/>
    <w:rsid w:val="00456EA7"/>
    <w:rsid w:val="0045791C"/>
    <w:rsid w:val="00457E02"/>
    <w:rsid w:val="00457F36"/>
    <w:rsid w:val="004606FD"/>
    <w:rsid w:val="0046102F"/>
    <w:rsid w:val="004611C8"/>
    <w:rsid w:val="00463B98"/>
    <w:rsid w:val="00463F44"/>
    <w:rsid w:val="004642F0"/>
    <w:rsid w:val="0046595D"/>
    <w:rsid w:val="004659AE"/>
    <w:rsid w:val="004660C7"/>
    <w:rsid w:val="0046684D"/>
    <w:rsid w:val="004669A8"/>
    <w:rsid w:val="0046763C"/>
    <w:rsid w:val="00467C7A"/>
    <w:rsid w:val="00470BF4"/>
    <w:rsid w:val="00471138"/>
    <w:rsid w:val="00473417"/>
    <w:rsid w:val="004736FA"/>
    <w:rsid w:val="00474806"/>
    <w:rsid w:val="0047491F"/>
    <w:rsid w:val="004772C8"/>
    <w:rsid w:val="00480DAD"/>
    <w:rsid w:val="00481992"/>
    <w:rsid w:val="00482B20"/>
    <w:rsid w:val="00483067"/>
    <w:rsid w:val="00483548"/>
    <w:rsid w:val="00486119"/>
    <w:rsid w:val="00487201"/>
    <w:rsid w:val="00487368"/>
    <w:rsid w:val="00490010"/>
    <w:rsid w:val="00491575"/>
    <w:rsid w:val="00491A48"/>
    <w:rsid w:val="00493E81"/>
    <w:rsid w:val="00495A6F"/>
    <w:rsid w:val="00497870"/>
    <w:rsid w:val="00497882"/>
    <w:rsid w:val="004A0489"/>
    <w:rsid w:val="004A0C78"/>
    <w:rsid w:val="004A1827"/>
    <w:rsid w:val="004A1EA7"/>
    <w:rsid w:val="004A2566"/>
    <w:rsid w:val="004A27DB"/>
    <w:rsid w:val="004A2C2A"/>
    <w:rsid w:val="004A37CB"/>
    <w:rsid w:val="004A381F"/>
    <w:rsid w:val="004A4122"/>
    <w:rsid w:val="004A4F02"/>
    <w:rsid w:val="004A658E"/>
    <w:rsid w:val="004A6D9E"/>
    <w:rsid w:val="004A7F65"/>
    <w:rsid w:val="004B02CE"/>
    <w:rsid w:val="004B1643"/>
    <w:rsid w:val="004B1E56"/>
    <w:rsid w:val="004B2152"/>
    <w:rsid w:val="004B33B8"/>
    <w:rsid w:val="004B3F26"/>
    <w:rsid w:val="004B40A3"/>
    <w:rsid w:val="004B462D"/>
    <w:rsid w:val="004B56AC"/>
    <w:rsid w:val="004B6F9E"/>
    <w:rsid w:val="004B6FA1"/>
    <w:rsid w:val="004B7589"/>
    <w:rsid w:val="004B76E2"/>
    <w:rsid w:val="004B7A17"/>
    <w:rsid w:val="004B7B5C"/>
    <w:rsid w:val="004C18CF"/>
    <w:rsid w:val="004C2942"/>
    <w:rsid w:val="004C3761"/>
    <w:rsid w:val="004C6400"/>
    <w:rsid w:val="004C6BD5"/>
    <w:rsid w:val="004C6E93"/>
    <w:rsid w:val="004C7822"/>
    <w:rsid w:val="004D084C"/>
    <w:rsid w:val="004D2299"/>
    <w:rsid w:val="004D364A"/>
    <w:rsid w:val="004D50B3"/>
    <w:rsid w:val="004D6008"/>
    <w:rsid w:val="004D60DD"/>
    <w:rsid w:val="004D6315"/>
    <w:rsid w:val="004D6487"/>
    <w:rsid w:val="004D6CFF"/>
    <w:rsid w:val="004E2BB1"/>
    <w:rsid w:val="004E4A26"/>
    <w:rsid w:val="004E4A4C"/>
    <w:rsid w:val="004E4C5B"/>
    <w:rsid w:val="004E589C"/>
    <w:rsid w:val="004E58AC"/>
    <w:rsid w:val="004E640E"/>
    <w:rsid w:val="004E76E5"/>
    <w:rsid w:val="004F0949"/>
    <w:rsid w:val="004F118B"/>
    <w:rsid w:val="004F11FD"/>
    <w:rsid w:val="004F30C5"/>
    <w:rsid w:val="004F34DE"/>
    <w:rsid w:val="004F369A"/>
    <w:rsid w:val="004F3D07"/>
    <w:rsid w:val="004F7552"/>
    <w:rsid w:val="004F7627"/>
    <w:rsid w:val="005002B1"/>
    <w:rsid w:val="005004F4"/>
    <w:rsid w:val="0050290C"/>
    <w:rsid w:val="0050310C"/>
    <w:rsid w:val="00504803"/>
    <w:rsid w:val="00505D34"/>
    <w:rsid w:val="00505DB5"/>
    <w:rsid w:val="00506165"/>
    <w:rsid w:val="005073F8"/>
    <w:rsid w:val="005100DE"/>
    <w:rsid w:val="0051039D"/>
    <w:rsid w:val="00511CD9"/>
    <w:rsid w:val="0051278C"/>
    <w:rsid w:val="005130FD"/>
    <w:rsid w:val="005144F6"/>
    <w:rsid w:val="00514B53"/>
    <w:rsid w:val="005157C4"/>
    <w:rsid w:val="00516191"/>
    <w:rsid w:val="005163C4"/>
    <w:rsid w:val="005166C7"/>
    <w:rsid w:val="00516D5E"/>
    <w:rsid w:val="00517FBD"/>
    <w:rsid w:val="00521E9F"/>
    <w:rsid w:val="00522042"/>
    <w:rsid w:val="0052264B"/>
    <w:rsid w:val="005230F9"/>
    <w:rsid w:val="0052341F"/>
    <w:rsid w:val="00524A5C"/>
    <w:rsid w:val="00525FC4"/>
    <w:rsid w:val="0052620C"/>
    <w:rsid w:val="0053041F"/>
    <w:rsid w:val="0053069D"/>
    <w:rsid w:val="00531F80"/>
    <w:rsid w:val="0053271D"/>
    <w:rsid w:val="00533066"/>
    <w:rsid w:val="00533649"/>
    <w:rsid w:val="00533BC8"/>
    <w:rsid w:val="00534522"/>
    <w:rsid w:val="00534E73"/>
    <w:rsid w:val="00535724"/>
    <w:rsid w:val="00535780"/>
    <w:rsid w:val="005360EC"/>
    <w:rsid w:val="00540B25"/>
    <w:rsid w:val="00540BF1"/>
    <w:rsid w:val="00542898"/>
    <w:rsid w:val="0054612B"/>
    <w:rsid w:val="005525EC"/>
    <w:rsid w:val="005528B9"/>
    <w:rsid w:val="005528F4"/>
    <w:rsid w:val="00553FA6"/>
    <w:rsid w:val="00555F66"/>
    <w:rsid w:val="00556AA4"/>
    <w:rsid w:val="0055709B"/>
    <w:rsid w:val="0055749F"/>
    <w:rsid w:val="005600E3"/>
    <w:rsid w:val="005611E1"/>
    <w:rsid w:val="00562006"/>
    <w:rsid w:val="00562B2B"/>
    <w:rsid w:val="00563190"/>
    <w:rsid w:val="00564637"/>
    <w:rsid w:val="00564690"/>
    <w:rsid w:val="00564AE9"/>
    <w:rsid w:val="00565B14"/>
    <w:rsid w:val="00566677"/>
    <w:rsid w:val="005668CD"/>
    <w:rsid w:val="0056764A"/>
    <w:rsid w:val="00567E58"/>
    <w:rsid w:val="00570399"/>
    <w:rsid w:val="00570E05"/>
    <w:rsid w:val="00570E48"/>
    <w:rsid w:val="00572DA4"/>
    <w:rsid w:val="00573D2A"/>
    <w:rsid w:val="00574034"/>
    <w:rsid w:val="005748F2"/>
    <w:rsid w:val="00574B2E"/>
    <w:rsid w:val="00576433"/>
    <w:rsid w:val="0057699C"/>
    <w:rsid w:val="00576E4E"/>
    <w:rsid w:val="00581F8F"/>
    <w:rsid w:val="00583470"/>
    <w:rsid w:val="00583534"/>
    <w:rsid w:val="0058450E"/>
    <w:rsid w:val="00584EF8"/>
    <w:rsid w:val="005850F2"/>
    <w:rsid w:val="00585B93"/>
    <w:rsid w:val="00586F5C"/>
    <w:rsid w:val="0058798B"/>
    <w:rsid w:val="00587E11"/>
    <w:rsid w:val="00590358"/>
    <w:rsid w:val="00590544"/>
    <w:rsid w:val="00592190"/>
    <w:rsid w:val="0059257E"/>
    <w:rsid w:val="005938B4"/>
    <w:rsid w:val="005938B5"/>
    <w:rsid w:val="00594194"/>
    <w:rsid w:val="00594697"/>
    <w:rsid w:val="0059537B"/>
    <w:rsid w:val="00596C44"/>
    <w:rsid w:val="00597578"/>
    <w:rsid w:val="00597E63"/>
    <w:rsid w:val="005A1975"/>
    <w:rsid w:val="005A38D2"/>
    <w:rsid w:val="005A4DC2"/>
    <w:rsid w:val="005A7A74"/>
    <w:rsid w:val="005A7FB3"/>
    <w:rsid w:val="005B114B"/>
    <w:rsid w:val="005B157F"/>
    <w:rsid w:val="005B3687"/>
    <w:rsid w:val="005B4F36"/>
    <w:rsid w:val="005C2F3F"/>
    <w:rsid w:val="005C4A05"/>
    <w:rsid w:val="005C4B9E"/>
    <w:rsid w:val="005C5C7C"/>
    <w:rsid w:val="005C70F4"/>
    <w:rsid w:val="005D0A6C"/>
    <w:rsid w:val="005D1842"/>
    <w:rsid w:val="005D24AD"/>
    <w:rsid w:val="005D5CB1"/>
    <w:rsid w:val="005D5E4C"/>
    <w:rsid w:val="005D7714"/>
    <w:rsid w:val="005D7965"/>
    <w:rsid w:val="005D7A29"/>
    <w:rsid w:val="005E0096"/>
    <w:rsid w:val="005E055F"/>
    <w:rsid w:val="005E1AC7"/>
    <w:rsid w:val="005E2016"/>
    <w:rsid w:val="005E2EDC"/>
    <w:rsid w:val="005E5C56"/>
    <w:rsid w:val="005E6508"/>
    <w:rsid w:val="005E663D"/>
    <w:rsid w:val="005E7F9A"/>
    <w:rsid w:val="005F1BEB"/>
    <w:rsid w:val="005F256E"/>
    <w:rsid w:val="005F3529"/>
    <w:rsid w:val="005F3CC5"/>
    <w:rsid w:val="005F46DB"/>
    <w:rsid w:val="005F4AF4"/>
    <w:rsid w:val="005F56C7"/>
    <w:rsid w:val="005F5BB8"/>
    <w:rsid w:val="005F5FB1"/>
    <w:rsid w:val="006008DE"/>
    <w:rsid w:val="0060113A"/>
    <w:rsid w:val="006016E8"/>
    <w:rsid w:val="00602EED"/>
    <w:rsid w:val="00603597"/>
    <w:rsid w:val="00603AB8"/>
    <w:rsid w:val="0060403D"/>
    <w:rsid w:val="00604ECF"/>
    <w:rsid w:val="006051E7"/>
    <w:rsid w:val="00605A2D"/>
    <w:rsid w:val="00607451"/>
    <w:rsid w:val="006077F0"/>
    <w:rsid w:val="00607AD1"/>
    <w:rsid w:val="006108AC"/>
    <w:rsid w:val="00610995"/>
    <w:rsid w:val="006120D4"/>
    <w:rsid w:val="006121D8"/>
    <w:rsid w:val="00612B32"/>
    <w:rsid w:val="006130F2"/>
    <w:rsid w:val="00614193"/>
    <w:rsid w:val="00614E3C"/>
    <w:rsid w:val="006151CA"/>
    <w:rsid w:val="00616098"/>
    <w:rsid w:val="00616751"/>
    <w:rsid w:val="00617721"/>
    <w:rsid w:val="00622040"/>
    <w:rsid w:val="00622102"/>
    <w:rsid w:val="0062277D"/>
    <w:rsid w:val="00622F06"/>
    <w:rsid w:val="00623E12"/>
    <w:rsid w:val="0062550E"/>
    <w:rsid w:val="0062673B"/>
    <w:rsid w:val="00626828"/>
    <w:rsid w:val="00627D25"/>
    <w:rsid w:val="00631642"/>
    <w:rsid w:val="006327C9"/>
    <w:rsid w:val="0063356A"/>
    <w:rsid w:val="00633AC3"/>
    <w:rsid w:val="00635B4D"/>
    <w:rsid w:val="00636870"/>
    <w:rsid w:val="00637868"/>
    <w:rsid w:val="00637A62"/>
    <w:rsid w:val="006401A9"/>
    <w:rsid w:val="0064026B"/>
    <w:rsid w:val="00640345"/>
    <w:rsid w:val="00641684"/>
    <w:rsid w:val="006419E8"/>
    <w:rsid w:val="00642333"/>
    <w:rsid w:val="0064241C"/>
    <w:rsid w:val="00642FD3"/>
    <w:rsid w:val="00645A38"/>
    <w:rsid w:val="00647460"/>
    <w:rsid w:val="00647788"/>
    <w:rsid w:val="00650696"/>
    <w:rsid w:val="00650B29"/>
    <w:rsid w:val="0065323A"/>
    <w:rsid w:val="00654033"/>
    <w:rsid w:val="00654C2A"/>
    <w:rsid w:val="00654DF8"/>
    <w:rsid w:val="00655E81"/>
    <w:rsid w:val="00656170"/>
    <w:rsid w:val="00656E37"/>
    <w:rsid w:val="00657C3E"/>
    <w:rsid w:val="00660DF0"/>
    <w:rsid w:val="006630BC"/>
    <w:rsid w:val="00664452"/>
    <w:rsid w:val="00664478"/>
    <w:rsid w:val="006648B5"/>
    <w:rsid w:val="006654F6"/>
    <w:rsid w:val="006658FF"/>
    <w:rsid w:val="006667C9"/>
    <w:rsid w:val="00666E24"/>
    <w:rsid w:val="006674CD"/>
    <w:rsid w:val="00667CB6"/>
    <w:rsid w:val="0067147E"/>
    <w:rsid w:val="006719C2"/>
    <w:rsid w:val="006728DD"/>
    <w:rsid w:val="0067305E"/>
    <w:rsid w:val="0067305F"/>
    <w:rsid w:val="006730FD"/>
    <w:rsid w:val="006731D3"/>
    <w:rsid w:val="006745E4"/>
    <w:rsid w:val="006747CF"/>
    <w:rsid w:val="00674B9D"/>
    <w:rsid w:val="00675459"/>
    <w:rsid w:val="0067648E"/>
    <w:rsid w:val="006769AF"/>
    <w:rsid w:val="00676AE7"/>
    <w:rsid w:val="00676E18"/>
    <w:rsid w:val="00676E89"/>
    <w:rsid w:val="0068210D"/>
    <w:rsid w:val="0068290B"/>
    <w:rsid w:val="00685B0D"/>
    <w:rsid w:val="006864F5"/>
    <w:rsid w:val="0069329D"/>
    <w:rsid w:val="00695F1F"/>
    <w:rsid w:val="00697E04"/>
    <w:rsid w:val="006A0439"/>
    <w:rsid w:val="006A1BC4"/>
    <w:rsid w:val="006A1D91"/>
    <w:rsid w:val="006A36A7"/>
    <w:rsid w:val="006A5464"/>
    <w:rsid w:val="006A633B"/>
    <w:rsid w:val="006A7BC1"/>
    <w:rsid w:val="006B07CC"/>
    <w:rsid w:val="006B3A5E"/>
    <w:rsid w:val="006B57E2"/>
    <w:rsid w:val="006C2CB7"/>
    <w:rsid w:val="006C3A5C"/>
    <w:rsid w:val="006C5222"/>
    <w:rsid w:val="006C729B"/>
    <w:rsid w:val="006C77C2"/>
    <w:rsid w:val="006D05AF"/>
    <w:rsid w:val="006D1171"/>
    <w:rsid w:val="006D1C92"/>
    <w:rsid w:val="006D29AA"/>
    <w:rsid w:val="006D5998"/>
    <w:rsid w:val="006E1729"/>
    <w:rsid w:val="006E2BA9"/>
    <w:rsid w:val="006E2C03"/>
    <w:rsid w:val="006E32A4"/>
    <w:rsid w:val="006E3564"/>
    <w:rsid w:val="006E4C70"/>
    <w:rsid w:val="006E5100"/>
    <w:rsid w:val="006F1A56"/>
    <w:rsid w:val="006F409C"/>
    <w:rsid w:val="006F447E"/>
    <w:rsid w:val="006F59E3"/>
    <w:rsid w:val="006F6447"/>
    <w:rsid w:val="006F6C2E"/>
    <w:rsid w:val="00700025"/>
    <w:rsid w:val="00700A4E"/>
    <w:rsid w:val="00700B62"/>
    <w:rsid w:val="00701FE8"/>
    <w:rsid w:val="00702B44"/>
    <w:rsid w:val="0070381F"/>
    <w:rsid w:val="0070440F"/>
    <w:rsid w:val="00704B8D"/>
    <w:rsid w:val="00705027"/>
    <w:rsid w:val="007059CF"/>
    <w:rsid w:val="0070666C"/>
    <w:rsid w:val="00706A91"/>
    <w:rsid w:val="00706D74"/>
    <w:rsid w:val="00707CA5"/>
    <w:rsid w:val="007109D8"/>
    <w:rsid w:val="00712BBC"/>
    <w:rsid w:val="00713F3B"/>
    <w:rsid w:val="00714395"/>
    <w:rsid w:val="0071440A"/>
    <w:rsid w:val="0071533E"/>
    <w:rsid w:val="00715341"/>
    <w:rsid w:val="00715A60"/>
    <w:rsid w:val="00715C5D"/>
    <w:rsid w:val="0071641B"/>
    <w:rsid w:val="00716D98"/>
    <w:rsid w:val="0072078F"/>
    <w:rsid w:val="00720B59"/>
    <w:rsid w:val="00722973"/>
    <w:rsid w:val="00723381"/>
    <w:rsid w:val="00723816"/>
    <w:rsid w:val="00724A86"/>
    <w:rsid w:val="00725907"/>
    <w:rsid w:val="00725D82"/>
    <w:rsid w:val="0072651E"/>
    <w:rsid w:val="00726A95"/>
    <w:rsid w:val="00730E0A"/>
    <w:rsid w:val="00731F2C"/>
    <w:rsid w:val="00732BC8"/>
    <w:rsid w:val="00733EC4"/>
    <w:rsid w:val="0073606B"/>
    <w:rsid w:val="0073716C"/>
    <w:rsid w:val="00737A70"/>
    <w:rsid w:val="00742648"/>
    <w:rsid w:val="00742C68"/>
    <w:rsid w:val="00743BD6"/>
    <w:rsid w:val="0074400F"/>
    <w:rsid w:val="00744462"/>
    <w:rsid w:val="0074597B"/>
    <w:rsid w:val="00745A68"/>
    <w:rsid w:val="00746677"/>
    <w:rsid w:val="00747A7C"/>
    <w:rsid w:val="007510E7"/>
    <w:rsid w:val="00752B92"/>
    <w:rsid w:val="00753546"/>
    <w:rsid w:val="00754A56"/>
    <w:rsid w:val="00754C05"/>
    <w:rsid w:val="00755EDC"/>
    <w:rsid w:val="00756AC7"/>
    <w:rsid w:val="00757015"/>
    <w:rsid w:val="007571F6"/>
    <w:rsid w:val="00757554"/>
    <w:rsid w:val="0075799A"/>
    <w:rsid w:val="00760980"/>
    <w:rsid w:val="00760DCB"/>
    <w:rsid w:val="00761AA9"/>
    <w:rsid w:val="007630DF"/>
    <w:rsid w:val="00763E5C"/>
    <w:rsid w:val="00765CAB"/>
    <w:rsid w:val="00766AC2"/>
    <w:rsid w:val="00766D06"/>
    <w:rsid w:val="007726F3"/>
    <w:rsid w:val="00773155"/>
    <w:rsid w:val="00775127"/>
    <w:rsid w:val="007752B0"/>
    <w:rsid w:val="00775963"/>
    <w:rsid w:val="0077627C"/>
    <w:rsid w:val="0077695B"/>
    <w:rsid w:val="0077744C"/>
    <w:rsid w:val="00781F03"/>
    <w:rsid w:val="00782F4E"/>
    <w:rsid w:val="007847A3"/>
    <w:rsid w:val="00786334"/>
    <w:rsid w:val="007870B4"/>
    <w:rsid w:val="007875D5"/>
    <w:rsid w:val="00787AC9"/>
    <w:rsid w:val="00790202"/>
    <w:rsid w:val="00791EF8"/>
    <w:rsid w:val="00791EFE"/>
    <w:rsid w:val="00792ECB"/>
    <w:rsid w:val="00792FBC"/>
    <w:rsid w:val="0079300C"/>
    <w:rsid w:val="00793169"/>
    <w:rsid w:val="00793AFD"/>
    <w:rsid w:val="007953CD"/>
    <w:rsid w:val="00795E5A"/>
    <w:rsid w:val="0079666D"/>
    <w:rsid w:val="007967F2"/>
    <w:rsid w:val="00796D44"/>
    <w:rsid w:val="007975AC"/>
    <w:rsid w:val="00797DC6"/>
    <w:rsid w:val="007A1113"/>
    <w:rsid w:val="007A2BA2"/>
    <w:rsid w:val="007A2DDF"/>
    <w:rsid w:val="007A5B0B"/>
    <w:rsid w:val="007A79F9"/>
    <w:rsid w:val="007A7F03"/>
    <w:rsid w:val="007B2713"/>
    <w:rsid w:val="007B2D80"/>
    <w:rsid w:val="007B4481"/>
    <w:rsid w:val="007B6C25"/>
    <w:rsid w:val="007B6ED0"/>
    <w:rsid w:val="007C0CEA"/>
    <w:rsid w:val="007C216C"/>
    <w:rsid w:val="007C2342"/>
    <w:rsid w:val="007C28FE"/>
    <w:rsid w:val="007C2DFC"/>
    <w:rsid w:val="007C2EBE"/>
    <w:rsid w:val="007C325D"/>
    <w:rsid w:val="007C32CB"/>
    <w:rsid w:val="007C3685"/>
    <w:rsid w:val="007C4A04"/>
    <w:rsid w:val="007C4AB1"/>
    <w:rsid w:val="007C6C34"/>
    <w:rsid w:val="007C760F"/>
    <w:rsid w:val="007D1086"/>
    <w:rsid w:val="007D1551"/>
    <w:rsid w:val="007D1578"/>
    <w:rsid w:val="007D1827"/>
    <w:rsid w:val="007D42CB"/>
    <w:rsid w:val="007D4A3A"/>
    <w:rsid w:val="007D56CA"/>
    <w:rsid w:val="007D5872"/>
    <w:rsid w:val="007D737A"/>
    <w:rsid w:val="007E01A9"/>
    <w:rsid w:val="007E0F27"/>
    <w:rsid w:val="007E272C"/>
    <w:rsid w:val="007E288F"/>
    <w:rsid w:val="007E28B6"/>
    <w:rsid w:val="007E2AA8"/>
    <w:rsid w:val="007E4DD2"/>
    <w:rsid w:val="007E533F"/>
    <w:rsid w:val="007E63D6"/>
    <w:rsid w:val="007E7AA6"/>
    <w:rsid w:val="007F0C29"/>
    <w:rsid w:val="007F1378"/>
    <w:rsid w:val="007F21FE"/>
    <w:rsid w:val="007F415A"/>
    <w:rsid w:val="007F41C5"/>
    <w:rsid w:val="007F5DF9"/>
    <w:rsid w:val="007F6C52"/>
    <w:rsid w:val="007F73CA"/>
    <w:rsid w:val="007F79AC"/>
    <w:rsid w:val="00801641"/>
    <w:rsid w:val="0080277B"/>
    <w:rsid w:val="00802F7A"/>
    <w:rsid w:val="0080350D"/>
    <w:rsid w:val="00804DE7"/>
    <w:rsid w:val="0080633F"/>
    <w:rsid w:val="00806434"/>
    <w:rsid w:val="008100C9"/>
    <w:rsid w:val="00810D79"/>
    <w:rsid w:val="00810DA9"/>
    <w:rsid w:val="0081107B"/>
    <w:rsid w:val="00813D22"/>
    <w:rsid w:val="00814BF0"/>
    <w:rsid w:val="00815C81"/>
    <w:rsid w:val="00816876"/>
    <w:rsid w:val="00817F99"/>
    <w:rsid w:val="008202A8"/>
    <w:rsid w:val="0082090C"/>
    <w:rsid w:val="00821FB6"/>
    <w:rsid w:val="00822E01"/>
    <w:rsid w:val="00823DD1"/>
    <w:rsid w:val="00825B05"/>
    <w:rsid w:val="00827110"/>
    <w:rsid w:val="00827D83"/>
    <w:rsid w:val="00831357"/>
    <w:rsid w:val="0083223E"/>
    <w:rsid w:val="00834A4B"/>
    <w:rsid w:val="0083500F"/>
    <w:rsid w:val="00835206"/>
    <w:rsid w:val="00835B17"/>
    <w:rsid w:val="00836AA2"/>
    <w:rsid w:val="00840AEF"/>
    <w:rsid w:val="00841707"/>
    <w:rsid w:val="008425B7"/>
    <w:rsid w:val="00842BD7"/>
    <w:rsid w:val="00842E1A"/>
    <w:rsid w:val="00842E74"/>
    <w:rsid w:val="00843876"/>
    <w:rsid w:val="008440CA"/>
    <w:rsid w:val="00846323"/>
    <w:rsid w:val="0084728D"/>
    <w:rsid w:val="00847E80"/>
    <w:rsid w:val="00847F66"/>
    <w:rsid w:val="00851336"/>
    <w:rsid w:val="008523B3"/>
    <w:rsid w:val="00852C03"/>
    <w:rsid w:val="00852C23"/>
    <w:rsid w:val="00853332"/>
    <w:rsid w:val="00853524"/>
    <w:rsid w:val="00854A4F"/>
    <w:rsid w:val="0085528E"/>
    <w:rsid w:val="00857ADF"/>
    <w:rsid w:val="00860A72"/>
    <w:rsid w:val="008612B2"/>
    <w:rsid w:val="00861356"/>
    <w:rsid w:val="0086167F"/>
    <w:rsid w:val="00861A73"/>
    <w:rsid w:val="00862FD1"/>
    <w:rsid w:val="00865129"/>
    <w:rsid w:val="00866A60"/>
    <w:rsid w:val="00867738"/>
    <w:rsid w:val="0086783A"/>
    <w:rsid w:val="008707D2"/>
    <w:rsid w:val="00870821"/>
    <w:rsid w:val="00870B89"/>
    <w:rsid w:val="00870ED1"/>
    <w:rsid w:val="00871BA0"/>
    <w:rsid w:val="0087234F"/>
    <w:rsid w:val="008729B3"/>
    <w:rsid w:val="008733F1"/>
    <w:rsid w:val="00873CF6"/>
    <w:rsid w:val="00873FF9"/>
    <w:rsid w:val="0087410F"/>
    <w:rsid w:val="008779C0"/>
    <w:rsid w:val="0088012A"/>
    <w:rsid w:val="00880EBC"/>
    <w:rsid w:val="008811EF"/>
    <w:rsid w:val="00882E3C"/>
    <w:rsid w:val="00884F14"/>
    <w:rsid w:val="00885286"/>
    <w:rsid w:val="008871CE"/>
    <w:rsid w:val="008875C4"/>
    <w:rsid w:val="008907C3"/>
    <w:rsid w:val="00891F56"/>
    <w:rsid w:val="0089363C"/>
    <w:rsid w:val="00894203"/>
    <w:rsid w:val="0089445C"/>
    <w:rsid w:val="00894E21"/>
    <w:rsid w:val="00897617"/>
    <w:rsid w:val="00897624"/>
    <w:rsid w:val="008978C3"/>
    <w:rsid w:val="00897D55"/>
    <w:rsid w:val="008A1EC5"/>
    <w:rsid w:val="008A319C"/>
    <w:rsid w:val="008A37B5"/>
    <w:rsid w:val="008A3FDA"/>
    <w:rsid w:val="008A50ED"/>
    <w:rsid w:val="008A5537"/>
    <w:rsid w:val="008A5B9B"/>
    <w:rsid w:val="008A7591"/>
    <w:rsid w:val="008B0A13"/>
    <w:rsid w:val="008B1F26"/>
    <w:rsid w:val="008B39F3"/>
    <w:rsid w:val="008B42F7"/>
    <w:rsid w:val="008B4880"/>
    <w:rsid w:val="008B4F09"/>
    <w:rsid w:val="008B52DE"/>
    <w:rsid w:val="008B54DF"/>
    <w:rsid w:val="008B5F71"/>
    <w:rsid w:val="008B648A"/>
    <w:rsid w:val="008B6E09"/>
    <w:rsid w:val="008B77A4"/>
    <w:rsid w:val="008B7BB7"/>
    <w:rsid w:val="008C1658"/>
    <w:rsid w:val="008C1F52"/>
    <w:rsid w:val="008C227A"/>
    <w:rsid w:val="008C2E46"/>
    <w:rsid w:val="008C4D73"/>
    <w:rsid w:val="008C5086"/>
    <w:rsid w:val="008C573D"/>
    <w:rsid w:val="008C6B79"/>
    <w:rsid w:val="008D1256"/>
    <w:rsid w:val="008D4E5A"/>
    <w:rsid w:val="008D5092"/>
    <w:rsid w:val="008D6198"/>
    <w:rsid w:val="008D644A"/>
    <w:rsid w:val="008E0D1B"/>
    <w:rsid w:val="008E1E63"/>
    <w:rsid w:val="008E2391"/>
    <w:rsid w:val="008E27FF"/>
    <w:rsid w:val="008E2A2E"/>
    <w:rsid w:val="008E50BD"/>
    <w:rsid w:val="008F0EDE"/>
    <w:rsid w:val="008F23F5"/>
    <w:rsid w:val="008F2831"/>
    <w:rsid w:val="008F5B4B"/>
    <w:rsid w:val="008F5BE4"/>
    <w:rsid w:val="008F6823"/>
    <w:rsid w:val="008F6B6D"/>
    <w:rsid w:val="008F712E"/>
    <w:rsid w:val="008F746F"/>
    <w:rsid w:val="008F75D6"/>
    <w:rsid w:val="008F7B5D"/>
    <w:rsid w:val="00900A49"/>
    <w:rsid w:val="00900B96"/>
    <w:rsid w:val="00900D7A"/>
    <w:rsid w:val="009027F6"/>
    <w:rsid w:val="00902F6F"/>
    <w:rsid w:val="00903495"/>
    <w:rsid w:val="00904AA6"/>
    <w:rsid w:val="00904D20"/>
    <w:rsid w:val="00905A3C"/>
    <w:rsid w:val="00907FD6"/>
    <w:rsid w:val="0091082C"/>
    <w:rsid w:val="0091150F"/>
    <w:rsid w:val="00911A76"/>
    <w:rsid w:val="00911D96"/>
    <w:rsid w:val="00911E11"/>
    <w:rsid w:val="009120CA"/>
    <w:rsid w:val="0091241D"/>
    <w:rsid w:val="00912FE9"/>
    <w:rsid w:val="00913168"/>
    <w:rsid w:val="009205CA"/>
    <w:rsid w:val="00921286"/>
    <w:rsid w:val="009254BA"/>
    <w:rsid w:val="00925509"/>
    <w:rsid w:val="0092597A"/>
    <w:rsid w:val="009263AC"/>
    <w:rsid w:val="00926781"/>
    <w:rsid w:val="00926E57"/>
    <w:rsid w:val="00930A55"/>
    <w:rsid w:val="00930CEA"/>
    <w:rsid w:val="00931874"/>
    <w:rsid w:val="00931A02"/>
    <w:rsid w:val="00931A48"/>
    <w:rsid w:val="00932B1D"/>
    <w:rsid w:val="00934D8B"/>
    <w:rsid w:val="00934EDB"/>
    <w:rsid w:val="00936191"/>
    <w:rsid w:val="00937E9E"/>
    <w:rsid w:val="009412C9"/>
    <w:rsid w:val="009422DF"/>
    <w:rsid w:val="009427B2"/>
    <w:rsid w:val="00943066"/>
    <w:rsid w:val="00944C06"/>
    <w:rsid w:val="0094654E"/>
    <w:rsid w:val="00946725"/>
    <w:rsid w:val="00947191"/>
    <w:rsid w:val="009473E0"/>
    <w:rsid w:val="0095040F"/>
    <w:rsid w:val="00951222"/>
    <w:rsid w:val="00951AB2"/>
    <w:rsid w:val="00953FD7"/>
    <w:rsid w:val="00954014"/>
    <w:rsid w:val="009558E1"/>
    <w:rsid w:val="00955D8A"/>
    <w:rsid w:val="00957286"/>
    <w:rsid w:val="0095758D"/>
    <w:rsid w:val="00961F98"/>
    <w:rsid w:val="0096246E"/>
    <w:rsid w:val="0096334E"/>
    <w:rsid w:val="00963B36"/>
    <w:rsid w:val="00964AF7"/>
    <w:rsid w:val="00964E60"/>
    <w:rsid w:val="00965153"/>
    <w:rsid w:val="00966ECA"/>
    <w:rsid w:val="00967378"/>
    <w:rsid w:val="009725C3"/>
    <w:rsid w:val="00972649"/>
    <w:rsid w:val="00972A41"/>
    <w:rsid w:val="009739BA"/>
    <w:rsid w:val="00973EA8"/>
    <w:rsid w:val="009760FF"/>
    <w:rsid w:val="009803DD"/>
    <w:rsid w:val="00980584"/>
    <w:rsid w:val="00982412"/>
    <w:rsid w:val="00983AF4"/>
    <w:rsid w:val="009840F8"/>
    <w:rsid w:val="009844F5"/>
    <w:rsid w:val="00984FAE"/>
    <w:rsid w:val="00985434"/>
    <w:rsid w:val="009856DA"/>
    <w:rsid w:val="00985F7C"/>
    <w:rsid w:val="0098656B"/>
    <w:rsid w:val="009870A0"/>
    <w:rsid w:val="00991118"/>
    <w:rsid w:val="00993C21"/>
    <w:rsid w:val="00993C2D"/>
    <w:rsid w:val="00994C07"/>
    <w:rsid w:val="00995829"/>
    <w:rsid w:val="00995A4A"/>
    <w:rsid w:val="00995B24"/>
    <w:rsid w:val="009965D9"/>
    <w:rsid w:val="0099747A"/>
    <w:rsid w:val="009A1688"/>
    <w:rsid w:val="009A17D9"/>
    <w:rsid w:val="009A2385"/>
    <w:rsid w:val="009A39F6"/>
    <w:rsid w:val="009A4119"/>
    <w:rsid w:val="009A442A"/>
    <w:rsid w:val="009A4AE3"/>
    <w:rsid w:val="009A4B76"/>
    <w:rsid w:val="009A4BD9"/>
    <w:rsid w:val="009A5A0B"/>
    <w:rsid w:val="009A5D1A"/>
    <w:rsid w:val="009A6422"/>
    <w:rsid w:val="009A7C4C"/>
    <w:rsid w:val="009A7C71"/>
    <w:rsid w:val="009B1A97"/>
    <w:rsid w:val="009B2F3E"/>
    <w:rsid w:val="009B4E7D"/>
    <w:rsid w:val="009B5A7C"/>
    <w:rsid w:val="009B648E"/>
    <w:rsid w:val="009B6566"/>
    <w:rsid w:val="009B7903"/>
    <w:rsid w:val="009C00D0"/>
    <w:rsid w:val="009C2087"/>
    <w:rsid w:val="009C322A"/>
    <w:rsid w:val="009C558B"/>
    <w:rsid w:val="009C55C8"/>
    <w:rsid w:val="009C58CD"/>
    <w:rsid w:val="009C5B3E"/>
    <w:rsid w:val="009C5D8F"/>
    <w:rsid w:val="009C6427"/>
    <w:rsid w:val="009C6762"/>
    <w:rsid w:val="009C6A1F"/>
    <w:rsid w:val="009D3538"/>
    <w:rsid w:val="009D386D"/>
    <w:rsid w:val="009D68CD"/>
    <w:rsid w:val="009D7AD2"/>
    <w:rsid w:val="009E0E5F"/>
    <w:rsid w:val="009E20F5"/>
    <w:rsid w:val="009E3A23"/>
    <w:rsid w:val="009E4542"/>
    <w:rsid w:val="009E4D29"/>
    <w:rsid w:val="009E7C5D"/>
    <w:rsid w:val="009E7E67"/>
    <w:rsid w:val="009F0F22"/>
    <w:rsid w:val="009F20C8"/>
    <w:rsid w:val="009F2E7F"/>
    <w:rsid w:val="009F3CDE"/>
    <w:rsid w:val="009F45CF"/>
    <w:rsid w:val="009F53DC"/>
    <w:rsid w:val="009F5918"/>
    <w:rsid w:val="009F615F"/>
    <w:rsid w:val="009F6173"/>
    <w:rsid w:val="009F7D54"/>
    <w:rsid w:val="00A004BB"/>
    <w:rsid w:val="00A01E1A"/>
    <w:rsid w:val="00A025AA"/>
    <w:rsid w:val="00A02A1D"/>
    <w:rsid w:val="00A03A6C"/>
    <w:rsid w:val="00A04F63"/>
    <w:rsid w:val="00A0552C"/>
    <w:rsid w:val="00A05825"/>
    <w:rsid w:val="00A05846"/>
    <w:rsid w:val="00A064FA"/>
    <w:rsid w:val="00A0675E"/>
    <w:rsid w:val="00A06EA7"/>
    <w:rsid w:val="00A0749B"/>
    <w:rsid w:val="00A07904"/>
    <w:rsid w:val="00A07A51"/>
    <w:rsid w:val="00A07E2D"/>
    <w:rsid w:val="00A10037"/>
    <w:rsid w:val="00A11CED"/>
    <w:rsid w:val="00A122F3"/>
    <w:rsid w:val="00A12637"/>
    <w:rsid w:val="00A1269A"/>
    <w:rsid w:val="00A13C2F"/>
    <w:rsid w:val="00A14317"/>
    <w:rsid w:val="00A14A61"/>
    <w:rsid w:val="00A14BF5"/>
    <w:rsid w:val="00A14D97"/>
    <w:rsid w:val="00A15918"/>
    <w:rsid w:val="00A16332"/>
    <w:rsid w:val="00A1705F"/>
    <w:rsid w:val="00A206F7"/>
    <w:rsid w:val="00A228EB"/>
    <w:rsid w:val="00A2454C"/>
    <w:rsid w:val="00A2531C"/>
    <w:rsid w:val="00A25592"/>
    <w:rsid w:val="00A3049E"/>
    <w:rsid w:val="00A30B2D"/>
    <w:rsid w:val="00A30B80"/>
    <w:rsid w:val="00A30DD2"/>
    <w:rsid w:val="00A30F38"/>
    <w:rsid w:val="00A319F9"/>
    <w:rsid w:val="00A337AC"/>
    <w:rsid w:val="00A33CBF"/>
    <w:rsid w:val="00A3462D"/>
    <w:rsid w:val="00A34E0E"/>
    <w:rsid w:val="00A35536"/>
    <w:rsid w:val="00A3699F"/>
    <w:rsid w:val="00A36F0C"/>
    <w:rsid w:val="00A37DF8"/>
    <w:rsid w:val="00A40401"/>
    <w:rsid w:val="00A40416"/>
    <w:rsid w:val="00A404E2"/>
    <w:rsid w:val="00A413F6"/>
    <w:rsid w:val="00A414D9"/>
    <w:rsid w:val="00A416DE"/>
    <w:rsid w:val="00A425F2"/>
    <w:rsid w:val="00A4486D"/>
    <w:rsid w:val="00A44EB5"/>
    <w:rsid w:val="00A467BC"/>
    <w:rsid w:val="00A46810"/>
    <w:rsid w:val="00A4687E"/>
    <w:rsid w:val="00A50C3D"/>
    <w:rsid w:val="00A51582"/>
    <w:rsid w:val="00A520A3"/>
    <w:rsid w:val="00A52243"/>
    <w:rsid w:val="00A53D6A"/>
    <w:rsid w:val="00A5401A"/>
    <w:rsid w:val="00A54FE9"/>
    <w:rsid w:val="00A551C9"/>
    <w:rsid w:val="00A561D4"/>
    <w:rsid w:val="00A56394"/>
    <w:rsid w:val="00A5744E"/>
    <w:rsid w:val="00A617E6"/>
    <w:rsid w:val="00A61EDF"/>
    <w:rsid w:val="00A62558"/>
    <w:rsid w:val="00A63A5F"/>
    <w:rsid w:val="00A63C39"/>
    <w:rsid w:val="00A65505"/>
    <w:rsid w:val="00A66EF4"/>
    <w:rsid w:val="00A67E35"/>
    <w:rsid w:val="00A7049C"/>
    <w:rsid w:val="00A70AC7"/>
    <w:rsid w:val="00A7172E"/>
    <w:rsid w:val="00A741A8"/>
    <w:rsid w:val="00A76B00"/>
    <w:rsid w:val="00A771D1"/>
    <w:rsid w:val="00A77BD5"/>
    <w:rsid w:val="00A80A2A"/>
    <w:rsid w:val="00A80B78"/>
    <w:rsid w:val="00A819A4"/>
    <w:rsid w:val="00A8243C"/>
    <w:rsid w:val="00A82819"/>
    <w:rsid w:val="00A82B91"/>
    <w:rsid w:val="00A82E25"/>
    <w:rsid w:val="00A84FA1"/>
    <w:rsid w:val="00A852EA"/>
    <w:rsid w:val="00A86010"/>
    <w:rsid w:val="00A87803"/>
    <w:rsid w:val="00A9160D"/>
    <w:rsid w:val="00A92DF9"/>
    <w:rsid w:val="00A92FB5"/>
    <w:rsid w:val="00A94077"/>
    <w:rsid w:val="00A95432"/>
    <w:rsid w:val="00A95B2F"/>
    <w:rsid w:val="00A976E1"/>
    <w:rsid w:val="00AA0979"/>
    <w:rsid w:val="00AA16C5"/>
    <w:rsid w:val="00AA1BFE"/>
    <w:rsid w:val="00AA3729"/>
    <w:rsid w:val="00AA5105"/>
    <w:rsid w:val="00AA618B"/>
    <w:rsid w:val="00AA7C3C"/>
    <w:rsid w:val="00AB05A5"/>
    <w:rsid w:val="00AB143F"/>
    <w:rsid w:val="00AB1669"/>
    <w:rsid w:val="00AB1E75"/>
    <w:rsid w:val="00AB2E93"/>
    <w:rsid w:val="00AB3D48"/>
    <w:rsid w:val="00AB4E01"/>
    <w:rsid w:val="00AB4F89"/>
    <w:rsid w:val="00AB571B"/>
    <w:rsid w:val="00AB5770"/>
    <w:rsid w:val="00AB5CFF"/>
    <w:rsid w:val="00AB5F98"/>
    <w:rsid w:val="00AB6219"/>
    <w:rsid w:val="00AB7C75"/>
    <w:rsid w:val="00AB7D6B"/>
    <w:rsid w:val="00AC05D7"/>
    <w:rsid w:val="00AC075D"/>
    <w:rsid w:val="00AC0D9F"/>
    <w:rsid w:val="00AC111D"/>
    <w:rsid w:val="00AC1145"/>
    <w:rsid w:val="00AC2E48"/>
    <w:rsid w:val="00AC6F40"/>
    <w:rsid w:val="00AC7AC3"/>
    <w:rsid w:val="00AD074E"/>
    <w:rsid w:val="00AD1F20"/>
    <w:rsid w:val="00AD6239"/>
    <w:rsid w:val="00AD63EE"/>
    <w:rsid w:val="00AD65B2"/>
    <w:rsid w:val="00AD6EB4"/>
    <w:rsid w:val="00AE356B"/>
    <w:rsid w:val="00AE502D"/>
    <w:rsid w:val="00AE5CE5"/>
    <w:rsid w:val="00AE5F6A"/>
    <w:rsid w:val="00AE6491"/>
    <w:rsid w:val="00AE7760"/>
    <w:rsid w:val="00AF13B3"/>
    <w:rsid w:val="00AF2A87"/>
    <w:rsid w:val="00AF2FC6"/>
    <w:rsid w:val="00AF36D9"/>
    <w:rsid w:val="00AF4175"/>
    <w:rsid w:val="00AF4538"/>
    <w:rsid w:val="00AF4EFB"/>
    <w:rsid w:val="00AF513A"/>
    <w:rsid w:val="00AF5B6A"/>
    <w:rsid w:val="00AF6CBE"/>
    <w:rsid w:val="00B000AE"/>
    <w:rsid w:val="00B00F8A"/>
    <w:rsid w:val="00B0174F"/>
    <w:rsid w:val="00B0219A"/>
    <w:rsid w:val="00B034CC"/>
    <w:rsid w:val="00B04727"/>
    <w:rsid w:val="00B11676"/>
    <w:rsid w:val="00B12866"/>
    <w:rsid w:val="00B12E77"/>
    <w:rsid w:val="00B1388D"/>
    <w:rsid w:val="00B13B4D"/>
    <w:rsid w:val="00B15C50"/>
    <w:rsid w:val="00B169D1"/>
    <w:rsid w:val="00B204E3"/>
    <w:rsid w:val="00B21500"/>
    <w:rsid w:val="00B22451"/>
    <w:rsid w:val="00B22B9C"/>
    <w:rsid w:val="00B22BAE"/>
    <w:rsid w:val="00B22FB0"/>
    <w:rsid w:val="00B233DB"/>
    <w:rsid w:val="00B2359D"/>
    <w:rsid w:val="00B248CF"/>
    <w:rsid w:val="00B261D3"/>
    <w:rsid w:val="00B26CDB"/>
    <w:rsid w:val="00B2729A"/>
    <w:rsid w:val="00B30561"/>
    <w:rsid w:val="00B30C56"/>
    <w:rsid w:val="00B31919"/>
    <w:rsid w:val="00B31CC0"/>
    <w:rsid w:val="00B32176"/>
    <w:rsid w:val="00B32655"/>
    <w:rsid w:val="00B33E2B"/>
    <w:rsid w:val="00B354B6"/>
    <w:rsid w:val="00B360F3"/>
    <w:rsid w:val="00B418D8"/>
    <w:rsid w:val="00B4392D"/>
    <w:rsid w:val="00B43BC9"/>
    <w:rsid w:val="00B44125"/>
    <w:rsid w:val="00B44140"/>
    <w:rsid w:val="00B45041"/>
    <w:rsid w:val="00B46AC9"/>
    <w:rsid w:val="00B47762"/>
    <w:rsid w:val="00B502C7"/>
    <w:rsid w:val="00B53532"/>
    <w:rsid w:val="00B54030"/>
    <w:rsid w:val="00B54616"/>
    <w:rsid w:val="00B54C44"/>
    <w:rsid w:val="00B54CB6"/>
    <w:rsid w:val="00B54EBD"/>
    <w:rsid w:val="00B563CF"/>
    <w:rsid w:val="00B56D56"/>
    <w:rsid w:val="00B620BF"/>
    <w:rsid w:val="00B622C1"/>
    <w:rsid w:val="00B623F8"/>
    <w:rsid w:val="00B62516"/>
    <w:rsid w:val="00B626FF"/>
    <w:rsid w:val="00B62D42"/>
    <w:rsid w:val="00B63C93"/>
    <w:rsid w:val="00B6470A"/>
    <w:rsid w:val="00B6659E"/>
    <w:rsid w:val="00B67D7D"/>
    <w:rsid w:val="00B72681"/>
    <w:rsid w:val="00B72698"/>
    <w:rsid w:val="00B72928"/>
    <w:rsid w:val="00B72D69"/>
    <w:rsid w:val="00B74DEB"/>
    <w:rsid w:val="00B754EB"/>
    <w:rsid w:val="00B75564"/>
    <w:rsid w:val="00B758B4"/>
    <w:rsid w:val="00B75F52"/>
    <w:rsid w:val="00B76079"/>
    <w:rsid w:val="00B76842"/>
    <w:rsid w:val="00B77C37"/>
    <w:rsid w:val="00B823D0"/>
    <w:rsid w:val="00B830C4"/>
    <w:rsid w:val="00B84CD8"/>
    <w:rsid w:val="00B85933"/>
    <w:rsid w:val="00B86B06"/>
    <w:rsid w:val="00B90360"/>
    <w:rsid w:val="00B907F9"/>
    <w:rsid w:val="00B91036"/>
    <w:rsid w:val="00B91137"/>
    <w:rsid w:val="00B9220E"/>
    <w:rsid w:val="00B92385"/>
    <w:rsid w:val="00B92B80"/>
    <w:rsid w:val="00B92C1E"/>
    <w:rsid w:val="00B92D04"/>
    <w:rsid w:val="00B94DBE"/>
    <w:rsid w:val="00BA0AF4"/>
    <w:rsid w:val="00BA20FB"/>
    <w:rsid w:val="00BA4002"/>
    <w:rsid w:val="00BA4835"/>
    <w:rsid w:val="00BA489A"/>
    <w:rsid w:val="00BA4A30"/>
    <w:rsid w:val="00BA4CDB"/>
    <w:rsid w:val="00BA5FDB"/>
    <w:rsid w:val="00BA694D"/>
    <w:rsid w:val="00BA6D42"/>
    <w:rsid w:val="00BB1E06"/>
    <w:rsid w:val="00BB3B8D"/>
    <w:rsid w:val="00BB4BCC"/>
    <w:rsid w:val="00BB4DEF"/>
    <w:rsid w:val="00BB5239"/>
    <w:rsid w:val="00BB554B"/>
    <w:rsid w:val="00BB5B04"/>
    <w:rsid w:val="00BC22F6"/>
    <w:rsid w:val="00BC44E5"/>
    <w:rsid w:val="00BC537D"/>
    <w:rsid w:val="00BC66F4"/>
    <w:rsid w:val="00BC683E"/>
    <w:rsid w:val="00BC774D"/>
    <w:rsid w:val="00BD05FD"/>
    <w:rsid w:val="00BD1F6E"/>
    <w:rsid w:val="00BD2953"/>
    <w:rsid w:val="00BD2F71"/>
    <w:rsid w:val="00BD3CA7"/>
    <w:rsid w:val="00BD4CC3"/>
    <w:rsid w:val="00BD597B"/>
    <w:rsid w:val="00BE08D7"/>
    <w:rsid w:val="00BE1903"/>
    <w:rsid w:val="00BE1D2A"/>
    <w:rsid w:val="00BE4268"/>
    <w:rsid w:val="00BE4618"/>
    <w:rsid w:val="00BE61F7"/>
    <w:rsid w:val="00BE626F"/>
    <w:rsid w:val="00BE663D"/>
    <w:rsid w:val="00BF0182"/>
    <w:rsid w:val="00BF1993"/>
    <w:rsid w:val="00BF2098"/>
    <w:rsid w:val="00BF2720"/>
    <w:rsid w:val="00BF3886"/>
    <w:rsid w:val="00BF5C40"/>
    <w:rsid w:val="00BF5D23"/>
    <w:rsid w:val="00BF66F6"/>
    <w:rsid w:val="00BF676C"/>
    <w:rsid w:val="00C00993"/>
    <w:rsid w:val="00C018CA"/>
    <w:rsid w:val="00C02706"/>
    <w:rsid w:val="00C029EF"/>
    <w:rsid w:val="00C0388E"/>
    <w:rsid w:val="00C043BB"/>
    <w:rsid w:val="00C04EF7"/>
    <w:rsid w:val="00C06A6A"/>
    <w:rsid w:val="00C06C54"/>
    <w:rsid w:val="00C06CD8"/>
    <w:rsid w:val="00C06E9D"/>
    <w:rsid w:val="00C06EB4"/>
    <w:rsid w:val="00C0702A"/>
    <w:rsid w:val="00C10920"/>
    <w:rsid w:val="00C11946"/>
    <w:rsid w:val="00C144B8"/>
    <w:rsid w:val="00C15A23"/>
    <w:rsid w:val="00C15FDD"/>
    <w:rsid w:val="00C167B6"/>
    <w:rsid w:val="00C17E83"/>
    <w:rsid w:val="00C20248"/>
    <w:rsid w:val="00C21824"/>
    <w:rsid w:val="00C22149"/>
    <w:rsid w:val="00C22334"/>
    <w:rsid w:val="00C22C10"/>
    <w:rsid w:val="00C23518"/>
    <w:rsid w:val="00C23733"/>
    <w:rsid w:val="00C2429A"/>
    <w:rsid w:val="00C2562B"/>
    <w:rsid w:val="00C256C5"/>
    <w:rsid w:val="00C2653C"/>
    <w:rsid w:val="00C27DA5"/>
    <w:rsid w:val="00C304A7"/>
    <w:rsid w:val="00C321CF"/>
    <w:rsid w:val="00C3284B"/>
    <w:rsid w:val="00C34695"/>
    <w:rsid w:val="00C3498E"/>
    <w:rsid w:val="00C34DBB"/>
    <w:rsid w:val="00C34DFC"/>
    <w:rsid w:val="00C35804"/>
    <w:rsid w:val="00C35E8B"/>
    <w:rsid w:val="00C36F72"/>
    <w:rsid w:val="00C37599"/>
    <w:rsid w:val="00C4121E"/>
    <w:rsid w:val="00C416A0"/>
    <w:rsid w:val="00C4176B"/>
    <w:rsid w:val="00C41FEC"/>
    <w:rsid w:val="00C42355"/>
    <w:rsid w:val="00C42979"/>
    <w:rsid w:val="00C443D7"/>
    <w:rsid w:val="00C44FB8"/>
    <w:rsid w:val="00C451B2"/>
    <w:rsid w:val="00C453AD"/>
    <w:rsid w:val="00C455CE"/>
    <w:rsid w:val="00C45B59"/>
    <w:rsid w:val="00C465D6"/>
    <w:rsid w:val="00C47398"/>
    <w:rsid w:val="00C475D3"/>
    <w:rsid w:val="00C47655"/>
    <w:rsid w:val="00C4777A"/>
    <w:rsid w:val="00C5021B"/>
    <w:rsid w:val="00C5184D"/>
    <w:rsid w:val="00C5320E"/>
    <w:rsid w:val="00C53AC9"/>
    <w:rsid w:val="00C54390"/>
    <w:rsid w:val="00C55BF8"/>
    <w:rsid w:val="00C55FE6"/>
    <w:rsid w:val="00C56A53"/>
    <w:rsid w:val="00C56D02"/>
    <w:rsid w:val="00C60039"/>
    <w:rsid w:val="00C617A2"/>
    <w:rsid w:val="00C61E75"/>
    <w:rsid w:val="00C62AAF"/>
    <w:rsid w:val="00C64397"/>
    <w:rsid w:val="00C646EF"/>
    <w:rsid w:val="00C64B7A"/>
    <w:rsid w:val="00C651CD"/>
    <w:rsid w:val="00C65BF4"/>
    <w:rsid w:val="00C66204"/>
    <w:rsid w:val="00C70318"/>
    <w:rsid w:val="00C705A4"/>
    <w:rsid w:val="00C72C88"/>
    <w:rsid w:val="00C7522D"/>
    <w:rsid w:val="00C755D9"/>
    <w:rsid w:val="00C75A1F"/>
    <w:rsid w:val="00C76088"/>
    <w:rsid w:val="00C76C6B"/>
    <w:rsid w:val="00C80AB5"/>
    <w:rsid w:val="00C80F09"/>
    <w:rsid w:val="00C829A7"/>
    <w:rsid w:val="00C829C6"/>
    <w:rsid w:val="00C82E6A"/>
    <w:rsid w:val="00C83719"/>
    <w:rsid w:val="00C83E0B"/>
    <w:rsid w:val="00C84307"/>
    <w:rsid w:val="00C87A5C"/>
    <w:rsid w:val="00C901D6"/>
    <w:rsid w:val="00C9165F"/>
    <w:rsid w:val="00C92014"/>
    <w:rsid w:val="00C92534"/>
    <w:rsid w:val="00C92761"/>
    <w:rsid w:val="00C92B1F"/>
    <w:rsid w:val="00C92C58"/>
    <w:rsid w:val="00C938A6"/>
    <w:rsid w:val="00C94D18"/>
    <w:rsid w:val="00C94D1E"/>
    <w:rsid w:val="00C9603C"/>
    <w:rsid w:val="00C9609F"/>
    <w:rsid w:val="00C966BD"/>
    <w:rsid w:val="00C97556"/>
    <w:rsid w:val="00CA008C"/>
    <w:rsid w:val="00CA06B0"/>
    <w:rsid w:val="00CA25CE"/>
    <w:rsid w:val="00CA37DF"/>
    <w:rsid w:val="00CA48CB"/>
    <w:rsid w:val="00CA7E36"/>
    <w:rsid w:val="00CB0694"/>
    <w:rsid w:val="00CB16AC"/>
    <w:rsid w:val="00CB2922"/>
    <w:rsid w:val="00CB3684"/>
    <w:rsid w:val="00CB3E41"/>
    <w:rsid w:val="00CB4884"/>
    <w:rsid w:val="00CB4EBD"/>
    <w:rsid w:val="00CC03B9"/>
    <w:rsid w:val="00CC1BF8"/>
    <w:rsid w:val="00CC2D63"/>
    <w:rsid w:val="00CC4A90"/>
    <w:rsid w:val="00CC5487"/>
    <w:rsid w:val="00CC6600"/>
    <w:rsid w:val="00CC75D4"/>
    <w:rsid w:val="00CD1112"/>
    <w:rsid w:val="00CD161F"/>
    <w:rsid w:val="00CD456A"/>
    <w:rsid w:val="00CD45D0"/>
    <w:rsid w:val="00CD691A"/>
    <w:rsid w:val="00CD6FC3"/>
    <w:rsid w:val="00CD74B9"/>
    <w:rsid w:val="00CD7B78"/>
    <w:rsid w:val="00CE056A"/>
    <w:rsid w:val="00CE1825"/>
    <w:rsid w:val="00CE2902"/>
    <w:rsid w:val="00CE2E82"/>
    <w:rsid w:val="00CE2EDE"/>
    <w:rsid w:val="00CE509F"/>
    <w:rsid w:val="00CE54AF"/>
    <w:rsid w:val="00CE5616"/>
    <w:rsid w:val="00CE7F7F"/>
    <w:rsid w:val="00CE7F8D"/>
    <w:rsid w:val="00CF2128"/>
    <w:rsid w:val="00CF238E"/>
    <w:rsid w:val="00CF2A1D"/>
    <w:rsid w:val="00CF2F96"/>
    <w:rsid w:val="00CF5EAE"/>
    <w:rsid w:val="00CF67DC"/>
    <w:rsid w:val="00CF7668"/>
    <w:rsid w:val="00CF7739"/>
    <w:rsid w:val="00CF7AD2"/>
    <w:rsid w:val="00CF7B64"/>
    <w:rsid w:val="00D00187"/>
    <w:rsid w:val="00D00CCB"/>
    <w:rsid w:val="00D018D3"/>
    <w:rsid w:val="00D02CB4"/>
    <w:rsid w:val="00D05597"/>
    <w:rsid w:val="00D06847"/>
    <w:rsid w:val="00D06A49"/>
    <w:rsid w:val="00D1127D"/>
    <w:rsid w:val="00D11A4C"/>
    <w:rsid w:val="00D11F14"/>
    <w:rsid w:val="00D12B1D"/>
    <w:rsid w:val="00D12C18"/>
    <w:rsid w:val="00D155AF"/>
    <w:rsid w:val="00D163BA"/>
    <w:rsid w:val="00D1779E"/>
    <w:rsid w:val="00D20BC1"/>
    <w:rsid w:val="00D21050"/>
    <w:rsid w:val="00D21EF1"/>
    <w:rsid w:val="00D220EA"/>
    <w:rsid w:val="00D27ED8"/>
    <w:rsid w:val="00D30C73"/>
    <w:rsid w:val="00D311D0"/>
    <w:rsid w:val="00D326EB"/>
    <w:rsid w:val="00D32FE0"/>
    <w:rsid w:val="00D3472E"/>
    <w:rsid w:val="00D368E0"/>
    <w:rsid w:val="00D36AE7"/>
    <w:rsid w:val="00D3775E"/>
    <w:rsid w:val="00D37D10"/>
    <w:rsid w:val="00D37D62"/>
    <w:rsid w:val="00D4080F"/>
    <w:rsid w:val="00D42856"/>
    <w:rsid w:val="00D4504E"/>
    <w:rsid w:val="00D46849"/>
    <w:rsid w:val="00D4696D"/>
    <w:rsid w:val="00D4724A"/>
    <w:rsid w:val="00D50816"/>
    <w:rsid w:val="00D51301"/>
    <w:rsid w:val="00D53AFF"/>
    <w:rsid w:val="00D53BA6"/>
    <w:rsid w:val="00D57DD2"/>
    <w:rsid w:val="00D60642"/>
    <w:rsid w:val="00D60CFF"/>
    <w:rsid w:val="00D60D2D"/>
    <w:rsid w:val="00D62325"/>
    <w:rsid w:val="00D62393"/>
    <w:rsid w:val="00D643AE"/>
    <w:rsid w:val="00D66016"/>
    <w:rsid w:val="00D666DA"/>
    <w:rsid w:val="00D6745C"/>
    <w:rsid w:val="00D67EE0"/>
    <w:rsid w:val="00D71125"/>
    <w:rsid w:val="00D7129D"/>
    <w:rsid w:val="00D71586"/>
    <w:rsid w:val="00D7423B"/>
    <w:rsid w:val="00D74D17"/>
    <w:rsid w:val="00D75186"/>
    <w:rsid w:val="00D756EE"/>
    <w:rsid w:val="00D75948"/>
    <w:rsid w:val="00D77DD0"/>
    <w:rsid w:val="00D81882"/>
    <w:rsid w:val="00D81B2E"/>
    <w:rsid w:val="00D8317E"/>
    <w:rsid w:val="00D84B55"/>
    <w:rsid w:val="00D851C2"/>
    <w:rsid w:val="00D8520E"/>
    <w:rsid w:val="00D85508"/>
    <w:rsid w:val="00D85A67"/>
    <w:rsid w:val="00D87A07"/>
    <w:rsid w:val="00D9074C"/>
    <w:rsid w:val="00D910DB"/>
    <w:rsid w:val="00D911C8"/>
    <w:rsid w:val="00D921BF"/>
    <w:rsid w:val="00D934F0"/>
    <w:rsid w:val="00D93FA7"/>
    <w:rsid w:val="00D96B98"/>
    <w:rsid w:val="00D97FD4"/>
    <w:rsid w:val="00DA25CE"/>
    <w:rsid w:val="00DA392C"/>
    <w:rsid w:val="00DA63E2"/>
    <w:rsid w:val="00DA6456"/>
    <w:rsid w:val="00DA76AA"/>
    <w:rsid w:val="00DB0653"/>
    <w:rsid w:val="00DB06F8"/>
    <w:rsid w:val="00DB16D5"/>
    <w:rsid w:val="00DB3734"/>
    <w:rsid w:val="00DB3C3B"/>
    <w:rsid w:val="00DB4782"/>
    <w:rsid w:val="00DB5476"/>
    <w:rsid w:val="00DB5D92"/>
    <w:rsid w:val="00DB631C"/>
    <w:rsid w:val="00DB648A"/>
    <w:rsid w:val="00DB6E05"/>
    <w:rsid w:val="00DB75EF"/>
    <w:rsid w:val="00DB79CB"/>
    <w:rsid w:val="00DC0C08"/>
    <w:rsid w:val="00DC1500"/>
    <w:rsid w:val="00DC1CA6"/>
    <w:rsid w:val="00DC2E23"/>
    <w:rsid w:val="00DC2E5A"/>
    <w:rsid w:val="00DC3BAD"/>
    <w:rsid w:val="00DC48BA"/>
    <w:rsid w:val="00DC5800"/>
    <w:rsid w:val="00DC58FD"/>
    <w:rsid w:val="00DC668E"/>
    <w:rsid w:val="00DC6A01"/>
    <w:rsid w:val="00DD0365"/>
    <w:rsid w:val="00DD0D78"/>
    <w:rsid w:val="00DD17D6"/>
    <w:rsid w:val="00DD4802"/>
    <w:rsid w:val="00DD4A3E"/>
    <w:rsid w:val="00DD5826"/>
    <w:rsid w:val="00DD6CAE"/>
    <w:rsid w:val="00DD6FF1"/>
    <w:rsid w:val="00DE16FD"/>
    <w:rsid w:val="00DE1D09"/>
    <w:rsid w:val="00DE1F6E"/>
    <w:rsid w:val="00DE273B"/>
    <w:rsid w:val="00DE34D4"/>
    <w:rsid w:val="00DE36B3"/>
    <w:rsid w:val="00DE3BF8"/>
    <w:rsid w:val="00DE4F51"/>
    <w:rsid w:val="00DE654B"/>
    <w:rsid w:val="00DE6992"/>
    <w:rsid w:val="00DF18C2"/>
    <w:rsid w:val="00DF2E9B"/>
    <w:rsid w:val="00DF7920"/>
    <w:rsid w:val="00DF7FC9"/>
    <w:rsid w:val="00E0038D"/>
    <w:rsid w:val="00E007D8"/>
    <w:rsid w:val="00E00AF2"/>
    <w:rsid w:val="00E01BB6"/>
    <w:rsid w:val="00E020B7"/>
    <w:rsid w:val="00E02A4C"/>
    <w:rsid w:val="00E034C5"/>
    <w:rsid w:val="00E039D7"/>
    <w:rsid w:val="00E03B81"/>
    <w:rsid w:val="00E04729"/>
    <w:rsid w:val="00E069E9"/>
    <w:rsid w:val="00E06BF1"/>
    <w:rsid w:val="00E07AA8"/>
    <w:rsid w:val="00E105F7"/>
    <w:rsid w:val="00E11599"/>
    <w:rsid w:val="00E12818"/>
    <w:rsid w:val="00E1356D"/>
    <w:rsid w:val="00E155C8"/>
    <w:rsid w:val="00E162B1"/>
    <w:rsid w:val="00E17292"/>
    <w:rsid w:val="00E208C8"/>
    <w:rsid w:val="00E21ED0"/>
    <w:rsid w:val="00E240AD"/>
    <w:rsid w:val="00E24C40"/>
    <w:rsid w:val="00E24E63"/>
    <w:rsid w:val="00E2737A"/>
    <w:rsid w:val="00E27410"/>
    <w:rsid w:val="00E278AC"/>
    <w:rsid w:val="00E27A16"/>
    <w:rsid w:val="00E27BE7"/>
    <w:rsid w:val="00E303FB"/>
    <w:rsid w:val="00E31101"/>
    <w:rsid w:val="00E316CD"/>
    <w:rsid w:val="00E3332D"/>
    <w:rsid w:val="00E3470C"/>
    <w:rsid w:val="00E35F72"/>
    <w:rsid w:val="00E36117"/>
    <w:rsid w:val="00E41489"/>
    <w:rsid w:val="00E416C8"/>
    <w:rsid w:val="00E41EE0"/>
    <w:rsid w:val="00E42169"/>
    <w:rsid w:val="00E42C19"/>
    <w:rsid w:val="00E43138"/>
    <w:rsid w:val="00E43571"/>
    <w:rsid w:val="00E43FF4"/>
    <w:rsid w:val="00E45643"/>
    <w:rsid w:val="00E462F2"/>
    <w:rsid w:val="00E46A35"/>
    <w:rsid w:val="00E50AA7"/>
    <w:rsid w:val="00E52032"/>
    <w:rsid w:val="00E5325C"/>
    <w:rsid w:val="00E5358D"/>
    <w:rsid w:val="00E574A1"/>
    <w:rsid w:val="00E57FA8"/>
    <w:rsid w:val="00E61469"/>
    <w:rsid w:val="00E61897"/>
    <w:rsid w:val="00E62F1B"/>
    <w:rsid w:val="00E633BA"/>
    <w:rsid w:val="00E637FA"/>
    <w:rsid w:val="00E63845"/>
    <w:rsid w:val="00E63F0A"/>
    <w:rsid w:val="00E65204"/>
    <w:rsid w:val="00E6530E"/>
    <w:rsid w:val="00E67675"/>
    <w:rsid w:val="00E713CF"/>
    <w:rsid w:val="00E7191A"/>
    <w:rsid w:val="00E743AB"/>
    <w:rsid w:val="00E758EB"/>
    <w:rsid w:val="00E75FA6"/>
    <w:rsid w:val="00E76D69"/>
    <w:rsid w:val="00E8035C"/>
    <w:rsid w:val="00E81135"/>
    <w:rsid w:val="00E82982"/>
    <w:rsid w:val="00E82C21"/>
    <w:rsid w:val="00E83B31"/>
    <w:rsid w:val="00E83D48"/>
    <w:rsid w:val="00E83EDF"/>
    <w:rsid w:val="00E8424C"/>
    <w:rsid w:val="00E8584A"/>
    <w:rsid w:val="00E87D0E"/>
    <w:rsid w:val="00E92B59"/>
    <w:rsid w:val="00E92F02"/>
    <w:rsid w:val="00E9483E"/>
    <w:rsid w:val="00E94B72"/>
    <w:rsid w:val="00E94C02"/>
    <w:rsid w:val="00E94EE9"/>
    <w:rsid w:val="00E951E4"/>
    <w:rsid w:val="00E9565E"/>
    <w:rsid w:val="00E958D5"/>
    <w:rsid w:val="00E96024"/>
    <w:rsid w:val="00E96278"/>
    <w:rsid w:val="00E96EB0"/>
    <w:rsid w:val="00E97A8B"/>
    <w:rsid w:val="00EA0C9E"/>
    <w:rsid w:val="00EA2218"/>
    <w:rsid w:val="00EA33A9"/>
    <w:rsid w:val="00EA3F14"/>
    <w:rsid w:val="00EA5300"/>
    <w:rsid w:val="00EA59AB"/>
    <w:rsid w:val="00EA5B79"/>
    <w:rsid w:val="00EA6132"/>
    <w:rsid w:val="00EA62C5"/>
    <w:rsid w:val="00EB078F"/>
    <w:rsid w:val="00EB2362"/>
    <w:rsid w:val="00EB3775"/>
    <w:rsid w:val="00EB3EE1"/>
    <w:rsid w:val="00EB4234"/>
    <w:rsid w:val="00EB45A5"/>
    <w:rsid w:val="00EB48C3"/>
    <w:rsid w:val="00EB55FD"/>
    <w:rsid w:val="00EB5634"/>
    <w:rsid w:val="00EB56AB"/>
    <w:rsid w:val="00EB70BD"/>
    <w:rsid w:val="00EC02EF"/>
    <w:rsid w:val="00EC15ED"/>
    <w:rsid w:val="00EC4DED"/>
    <w:rsid w:val="00EC4E37"/>
    <w:rsid w:val="00EC6247"/>
    <w:rsid w:val="00ED00AE"/>
    <w:rsid w:val="00ED17ED"/>
    <w:rsid w:val="00ED515C"/>
    <w:rsid w:val="00ED671E"/>
    <w:rsid w:val="00ED6FDB"/>
    <w:rsid w:val="00ED7D0E"/>
    <w:rsid w:val="00EE000E"/>
    <w:rsid w:val="00EE0181"/>
    <w:rsid w:val="00EE02B1"/>
    <w:rsid w:val="00EE1698"/>
    <w:rsid w:val="00EE1B94"/>
    <w:rsid w:val="00EE2613"/>
    <w:rsid w:val="00EE2815"/>
    <w:rsid w:val="00EE4CB6"/>
    <w:rsid w:val="00EE521A"/>
    <w:rsid w:val="00EE573E"/>
    <w:rsid w:val="00EE590B"/>
    <w:rsid w:val="00EF0125"/>
    <w:rsid w:val="00EF143A"/>
    <w:rsid w:val="00EF1C66"/>
    <w:rsid w:val="00EF227A"/>
    <w:rsid w:val="00EF2305"/>
    <w:rsid w:val="00EF359B"/>
    <w:rsid w:val="00EF4A2F"/>
    <w:rsid w:val="00EF4FAA"/>
    <w:rsid w:val="00EF52F0"/>
    <w:rsid w:val="00EF5D23"/>
    <w:rsid w:val="00EF7A27"/>
    <w:rsid w:val="00EF7BAE"/>
    <w:rsid w:val="00EF7E31"/>
    <w:rsid w:val="00F000CE"/>
    <w:rsid w:val="00F0080A"/>
    <w:rsid w:val="00F02571"/>
    <w:rsid w:val="00F02EF1"/>
    <w:rsid w:val="00F03393"/>
    <w:rsid w:val="00F03866"/>
    <w:rsid w:val="00F03E65"/>
    <w:rsid w:val="00F049D4"/>
    <w:rsid w:val="00F074DC"/>
    <w:rsid w:val="00F10BC8"/>
    <w:rsid w:val="00F10D8F"/>
    <w:rsid w:val="00F13862"/>
    <w:rsid w:val="00F16EFC"/>
    <w:rsid w:val="00F1707C"/>
    <w:rsid w:val="00F1769F"/>
    <w:rsid w:val="00F17BB0"/>
    <w:rsid w:val="00F223BD"/>
    <w:rsid w:val="00F228E2"/>
    <w:rsid w:val="00F22DCF"/>
    <w:rsid w:val="00F2426F"/>
    <w:rsid w:val="00F30BE7"/>
    <w:rsid w:val="00F30F24"/>
    <w:rsid w:val="00F31381"/>
    <w:rsid w:val="00F3155B"/>
    <w:rsid w:val="00F325D4"/>
    <w:rsid w:val="00F32CE2"/>
    <w:rsid w:val="00F33B53"/>
    <w:rsid w:val="00F3481A"/>
    <w:rsid w:val="00F350B3"/>
    <w:rsid w:val="00F35395"/>
    <w:rsid w:val="00F35733"/>
    <w:rsid w:val="00F35F36"/>
    <w:rsid w:val="00F370F8"/>
    <w:rsid w:val="00F37A83"/>
    <w:rsid w:val="00F40B19"/>
    <w:rsid w:val="00F40ED3"/>
    <w:rsid w:val="00F41FBA"/>
    <w:rsid w:val="00F4251E"/>
    <w:rsid w:val="00F44E97"/>
    <w:rsid w:val="00F46D72"/>
    <w:rsid w:val="00F47270"/>
    <w:rsid w:val="00F47F20"/>
    <w:rsid w:val="00F501E9"/>
    <w:rsid w:val="00F505EF"/>
    <w:rsid w:val="00F50914"/>
    <w:rsid w:val="00F5123F"/>
    <w:rsid w:val="00F51296"/>
    <w:rsid w:val="00F52A7D"/>
    <w:rsid w:val="00F55944"/>
    <w:rsid w:val="00F55951"/>
    <w:rsid w:val="00F5734B"/>
    <w:rsid w:val="00F579A3"/>
    <w:rsid w:val="00F604B3"/>
    <w:rsid w:val="00F60DB5"/>
    <w:rsid w:val="00F618CB"/>
    <w:rsid w:val="00F624F8"/>
    <w:rsid w:val="00F64C8F"/>
    <w:rsid w:val="00F668A7"/>
    <w:rsid w:val="00F671F2"/>
    <w:rsid w:val="00F70757"/>
    <w:rsid w:val="00F71884"/>
    <w:rsid w:val="00F718E7"/>
    <w:rsid w:val="00F71FD8"/>
    <w:rsid w:val="00F72595"/>
    <w:rsid w:val="00F73588"/>
    <w:rsid w:val="00F76A63"/>
    <w:rsid w:val="00F76D5D"/>
    <w:rsid w:val="00F77266"/>
    <w:rsid w:val="00F8180E"/>
    <w:rsid w:val="00F81D9E"/>
    <w:rsid w:val="00F81DAD"/>
    <w:rsid w:val="00F8225D"/>
    <w:rsid w:val="00F82D3C"/>
    <w:rsid w:val="00F82F57"/>
    <w:rsid w:val="00F8432A"/>
    <w:rsid w:val="00F85FBD"/>
    <w:rsid w:val="00F8685B"/>
    <w:rsid w:val="00F90122"/>
    <w:rsid w:val="00F91EC2"/>
    <w:rsid w:val="00F92753"/>
    <w:rsid w:val="00F93200"/>
    <w:rsid w:val="00F9448F"/>
    <w:rsid w:val="00F952A7"/>
    <w:rsid w:val="00F95819"/>
    <w:rsid w:val="00F9668C"/>
    <w:rsid w:val="00F969DA"/>
    <w:rsid w:val="00F97270"/>
    <w:rsid w:val="00FA0463"/>
    <w:rsid w:val="00FA0AF8"/>
    <w:rsid w:val="00FA0F37"/>
    <w:rsid w:val="00FA0F59"/>
    <w:rsid w:val="00FA1CA6"/>
    <w:rsid w:val="00FA3150"/>
    <w:rsid w:val="00FA7A12"/>
    <w:rsid w:val="00FA7EF4"/>
    <w:rsid w:val="00FA7FF5"/>
    <w:rsid w:val="00FB07B9"/>
    <w:rsid w:val="00FB1EF4"/>
    <w:rsid w:val="00FB2CC9"/>
    <w:rsid w:val="00FB43E5"/>
    <w:rsid w:val="00FB72F7"/>
    <w:rsid w:val="00FB7650"/>
    <w:rsid w:val="00FB7BA5"/>
    <w:rsid w:val="00FC1E20"/>
    <w:rsid w:val="00FC48F0"/>
    <w:rsid w:val="00FC4DBE"/>
    <w:rsid w:val="00FC57AF"/>
    <w:rsid w:val="00FD0CFB"/>
    <w:rsid w:val="00FD24F8"/>
    <w:rsid w:val="00FD36C6"/>
    <w:rsid w:val="00FD3AC4"/>
    <w:rsid w:val="00FD4209"/>
    <w:rsid w:val="00FD44DC"/>
    <w:rsid w:val="00FD49B4"/>
    <w:rsid w:val="00FD6CFF"/>
    <w:rsid w:val="00FD6D8E"/>
    <w:rsid w:val="00FE2266"/>
    <w:rsid w:val="00FE2FF5"/>
    <w:rsid w:val="00FE4120"/>
    <w:rsid w:val="00FE5110"/>
    <w:rsid w:val="00FE5A3F"/>
    <w:rsid w:val="00FE6B90"/>
    <w:rsid w:val="00FF36D2"/>
    <w:rsid w:val="00FF418C"/>
    <w:rsid w:val="00FF5346"/>
    <w:rsid w:val="00FF5A55"/>
    <w:rsid w:val="00FF6532"/>
    <w:rsid w:val="00FF6BB5"/>
    <w:rsid w:val="00FF73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B4F4B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822E01"/>
    <w:rPr>
      <w:vertAlign w:val="superscript"/>
    </w:rPr>
  </w:style>
  <w:style w:type="paragraph" w:styleId="FootnoteText">
    <w:name w:val="footnote text"/>
    <w:basedOn w:val="Normal"/>
    <w:link w:val="FootnoteTextChar"/>
    <w:uiPriority w:val="99"/>
    <w:unhideWhenUsed/>
    <w:rsid w:val="00822E01"/>
    <w:rPr>
      <w:rFonts w:ascii="Eurostile" w:eastAsia="Cambria" w:hAnsi="Eurostile"/>
    </w:rPr>
  </w:style>
  <w:style w:type="character" w:customStyle="1" w:styleId="FootnoteTextChar">
    <w:name w:val="Footnote Text Char"/>
    <w:basedOn w:val="DefaultParagraphFont"/>
    <w:link w:val="FootnoteText"/>
    <w:uiPriority w:val="99"/>
    <w:rsid w:val="00822E01"/>
    <w:rPr>
      <w:rFonts w:ascii="Eurostile" w:eastAsia="Cambria" w:hAnsi="Eurostile"/>
    </w:rPr>
  </w:style>
  <w:style w:type="character" w:customStyle="1" w:styleId="CharStyleItalicI">
    <w:name w:val="Char Style: Italic (I)"/>
    <w:uiPriority w:val="99"/>
    <w:rsid w:val="00822E01"/>
    <w:rPr>
      <w:rFonts w:cs="Times New Roman"/>
      <w:i/>
      <w:color w:val="007033"/>
    </w:rPr>
  </w:style>
  <w:style w:type="paragraph" w:styleId="Footer">
    <w:name w:val="footer"/>
    <w:basedOn w:val="Normal"/>
    <w:link w:val="FooterChar"/>
    <w:uiPriority w:val="99"/>
    <w:unhideWhenUsed/>
    <w:rsid w:val="005F5BB8"/>
    <w:pPr>
      <w:tabs>
        <w:tab w:val="center" w:pos="4320"/>
        <w:tab w:val="right" w:pos="8640"/>
      </w:tabs>
    </w:pPr>
  </w:style>
  <w:style w:type="character" w:customStyle="1" w:styleId="FooterChar">
    <w:name w:val="Footer Char"/>
    <w:basedOn w:val="DefaultParagraphFont"/>
    <w:link w:val="Footer"/>
    <w:uiPriority w:val="99"/>
    <w:rsid w:val="005F5BB8"/>
  </w:style>
  <w:style w:type="character" w:styleId="PageNumber">
    <w:name w:val="page number"/>
    <w:basedOn w:val="DefaultParagraphFont"/>
    <w:uiPriority w:val="99"/>
    <w:semiHidden/>
    <w:unhideWhenUsed/>
    <w:rsid w:val="005F5BB8"/>
  </w:style>
  <w:style w:type="character" w:styleId="Hyperlink">
    <w:name w:val="Hyperlink"/>
    <w:basedOn w:val="DefaultParagraphFont"/>
    <w:uiPriority w:val="99"/>
    <w:unhideWhenUsed/>
    <w:rsid w:val="008100C9"/>
    <w:rPr>
      <w:color w:val="0000FF" w:themeColor="hyperlink"/>
      <w:u w:val="single"/>
    </w:rPr>
  </w:style>
  <w:style w:type="character" w:styleId="FollowedHyperlink">
    <w:name w:val="FollowedHyperlink"/>
    <w:basedOn w:val="DefaultParagraphFont"/>
    <w:uiPriority w:val="99"/>
    <w:semiHidden/>
    <w:unhideWhenUsed/>
    <w:rsid w:val="001434C1"/>
    <w:rPr>
      <w:color w:val="800080" w:themeColor="followedHyperlink"/>
      <w:u w:val="single"/>
    </w:rPr>
  </w:style>
  <w:style w:type="paragraph" w:styleId="NoSpacing">
    <w:name w:val="No Spacing"/>
    <w:uiPriority w:val="1"/>
    <w:qFormat/>
    <w:rsid w:val="00C144B8"/>
  </w:style>
  <w:style w:type="paragraph" w:styleId="NoteLevel1">
    <w:name w:val="Note Level 1"/>
    <w:basedOn w:val="Normal"/>
    <w:uiPriority w:val="99"/>
    <w:unhideWhenUsed/>
    <w:rsid w:val="00F8432A"/>
    <w:pPr>
      <w:keepNext/>
      <w:numPr>
        <w:numId w:val="1"/>
      </w:numPr>
      <w:contextualSpacing/>
      <w:outlineLvl w:val="0"/>
    </w:pPr>
    <w:rPr>
      <w:rFonts w:ascii="Verdana" w:hAnsi="Verdana" w:cstheme="minorBidi"/>
    </w:rPr>
  </w:style>
  <w:style w:type="paragraph" w:styleId="NoteLevel2">
    <w:name w:val="Note Level 2"/>
    <w:basedOn w:val="Normal"/>
    <w:uiPriority w:val="99"/>
    <w:unhideWhenUsed/>
    <w:rsid w:val="00F8432A"/>
    <w:pPr>
      <w:keepNext/>
      <w:numPr>
        <w:ilvl w:val="1"/>
        <w:numId w:val="1"/>
      </w:numPr>
      <w:contextualSpacing/>
      <w:outlineLvl w:val="1"/>
    </w:pPr>
    <w:rPr>
      <w:rFonts w:ascii="Verdana" w:hAnsi="Verdana" w:cstheme="minorBidi"/>
    </w:rPr>
  </w:style>
  <w:style w:type="paragraph" w:styleId="NoteLevel3">
    <w:name w:val="Note Level 3"/>
    <w:basedOn w:val="Normal"/>
    <w:uiPriority w:val="99"/>
    <w:semiHidden/>
    <w:unhideWhenUsed/>
    <w:rsid w:val="00F8432A"/>
    <w:pPr>
      <w:keepNext/>
      <w:numPr>
        <w:ilvl w:val="2"/>
        <w:numId w:val="1"/>
      </w:numPr>
      <w:contextualSpacing/>
      <w:outlineLvl w:val="2"/>
    </w:pPr>
    <w:rPr>
      <w:rFonts w:ascii="Verdana" w:hAnsi="Verdana" w:cstheme="minorBidi"/>
    </w:rPr>
  </w:style>
  <w:style w:type="paragraph" w:styleId="NoteLevel4">
    <w:name w:val="Note Level 4"/>
    <w:basedOn w:val="Normal"/>
    <w:uiPriority w:val="99"/>
    <w:semiHidden/>
    <w:unhideWhenUsed/>
    <w:rsid w:val="00F8432A"/>
    <w:pPr>
      <w:keepNext/>
      <w:numPr>
        <w:ilvl w:val="3"/>
        <w:numId w:val="1"/>
      </w:numPr>
      <w:contextualSpacing/>
      <w:outlineLvl w:val="3"/>
    </w:pPr>
    <w:rPr>
      <w:rFonts w:ascii="Verdana" w:hAnsi="Verdana" w:cstheme="minorBidi"/>
    </w:rPr>
  </w:style>
  <w:style w:type="paragraph" w:styleId="NoteLevel5">
    <w:name w:val="Note Level 5"/>
    <w:basedOn w:val="Normal"/>
    <w:uiPriority w:val="99"/>
    <w:semiHidden/>
    <w:unhideWhenUsed/>
    <w:rsid w:val="00F8432A"/>
    <w:pPr>
      <w:keepNext/>
      <w:numPr>
        <w:ilvl w:val="4"/>
        <w:numId w:val="1"/>
      </w:numPr>
      <w:contextualSpacing/>
      <w:outlineLvl w:val="4"/>
    </w:pPr>
    <w:rPr>
      <w:rFonts w:ascii="Verdana" w:hAnsi="Verdana" w:cstheme="minorBidi"/>
    </w:rPr>
  </w:style>
  <w:style w:type="paragraph" w:styleId="NoteLevel6">
    <w:name w:val="Note Level 6"/>
    <w:basedOn w:val="Normal"/>
    <w:uiPriority w:val="99"/>
    <w:semiHidden/>
    <w:unhideWhenUsed/>
    <w:rsid w:val="00F8432A"/>
    <w:pPr>
      <w:keepNext/>
      <w:numPr>
        <w:ilvl w:val="5"/>
        <w:numId w:val="1"/>
      </w:numPr>
      <w:contextualSpacing/>
      <w:outlineLvl w:val="5"/>
    </w:pPr>
    <w:rPr>
      <w:rFonts w:ascii="Verdana" w:hAnsi="Verdana" w:cstheme="minorBidi"/>
    </w:rPr>
  </w:style>
  <w:style w:type="paragraph" w:styleId="NoteLevel7">
    <w:name w:val="Note Level 7"/>
    <w:basedOn w:val="Normal"/>
    <w:uiPriority w:val="99"/>
    <w:semiHidden/>
    <w:unhideWhenUsed/>
    <w:rsid w:val="00F8432A"/>
    <w:pPr>
      <w:keepNext/>
      <w:numPr>
        <w:ilvl w:val="6"/>
        <w:numId w:val="1"/>
      </w:numPr>
      <w:contextualSpacing/>
      <w:outlineLvl w:val="6"/>
    </w:pPr>
    <w:rPr>
      <w:rFonts w:ascii="Verdana" w:hAnsi="Verdana" w:cstheme="minorBidi"/>
    </w:rPr>
  </w:style>
  <w:style w:type="paragraph" w:styleId="NoteLevel8">
    <w:name w:val="Note Level 8"/>
    <w:basedOn w:val="Normal"/>
    <w:uiPriority w:val="99"/>
    <w:semiHidden/>
    <w:unhideWhenUsed/>
    <w:rsid w:val="00F8432A"/>
    <w:pPr>
      <w:keepNext/>
      <w:numPr>
        <w:ilvl w:val="7"/>
        <w:numId w:val="1"/>
      </w:numPr>
      <w:contextualSpacing/>
      <w:outlineLvl w:val="7"/>
    </w:pPr>
    <w:rPr>
      <w:rFonts w:ascii="Verdana" w:hAnsi="Verdana" w:cstheme="minorBidi"/>
    </w:rPr>
  </w:style>
  <w:style w:type="paragraph" w:styleId="NoteLevel9">
    <w:name w:val="Note Level 9"/>
    <w:basedOn w:val="Normal"/>
    <w:uiPriority w:val="99"/>
    <w:semiHidden/>
    <w:unhideWhenUsed/>
    <w:rsid w:val="00F8432A"/>
    <w:pPr>
      <w:keepNext/>
      <w:numPr>
        <w:ilvl w:val="8"/>
        <w:numId w:val="1"/>
      </w:numPr>
      <w:contextualSpacing/>
      <w:outlineLvl w:val="8"/>
    </w:pPr>
    <w:rPr>
      <w:rFonts w:ascii="Verdana" w:hAnsi="Verdana" w:cstheme="minorBidi"/>
    </w:rPr>
  </w:style>
  <w:style w:type="paragraph" w:customStyle="1" w:styleId="EndNoteBibliography">
    <w:name w:val="EndNote Bibliography"/>
    <w:basedOn w:val="Normal"/>
    <w:rsid w:val="007D42CB"/>
    <w:rPr>
      <w:rFonts w:ascii="Cambria" w:hAnsi="Cambria"/>
    </w:rPr>
  </w:style>
  <w:style w:type="character" w:styleId="CommentReference">
    <w:name w:val="annotation reference"/>
    <w:basedOn w:val="DefaultParagraphFont"/>
    <w:unhideWhenUsed/>
    <w:rsid w:val="00572DA4"/>
    <w:rPr>
      <w:sz w:val="18"/>
      <w:szCs w:val="18"/>
    </w:rPr>
  </w:style>
  <w:style w:type="table" w:styleId="TableGrid">
    <w:name w:val="Table Grid"/>
    <w:basedOn w:val="TableNormal"/>
    <w:uiPriority w:val="59"/>
    <w:rsid w:val="008B48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622040"/>
  </w:style>
  <w:style w:type="character" w:customStyle="1" w:styleId="CommentTextChar">
    <w:name w:val="Comment Text Char"/>
    <w:basedOn w:val="DefaultParagraphFont"/>
    <w:link w:val="CommentText"/>
    <w:uiPriority w:val="99"/>
    <w:semiHidden/>
    <w:rsid w:val="00622040"/>
  </w:style>
  <w:style w:type="paragraph" w:styleId="CommentSubject">
    <w:name w:val="annotation subject"/>
    <w:basedOn w:val="CommentText"/>
    <w:next w:val="CommentText"/>
    <w:link w:val="CommentSubjectChar"/>
    <w:uiPriority w:val="99"/>
    <w:semiHidden/>
    <w:unhideWhenUsed/>
    <w:rsid w:val="00622040"/>
    <w:rPr>
      <w:b/>
      <w:bCs/>
      <w:sz w:val="20"/>
      <w:szCs w:val="20"/>
    </w:rPr>
  </w:style>
  <w:style w:type="character" w:customStyle="1" w:styleId="CommentSubjectChar">
    <w:name w:val="Comment Subject Char"/>
    <w:basedOn w:val="CommentTextChar"/>
    <w:link w:val="CommentSubject"/>
    <w:uiPriority w:val="99"/>
    <w:semiHidden/>
    <w:rsid w:val="00622040"/>
    <w:rPr>
      <w:b/>
      <w:bCs/>
      <w:sz w:val="20"/>
      <w:szCs w:val="20"/>
    </w:rPr>
  </w:style>
  <w:style w:type="paragraph" w:styleId="BalloonText">
    <w:name w:val="Balloon Text"/>
    <w:basedOn w:val="Normal"/>
    <w:link w:val="BalloonTextChar"/>
    <w:uiPriority w:val="99"/>
    <w:semiHidden/>
    <w:unhideWhenUsed/>
    <w:rsid w:val="006220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2040"/>
    <w:rPr>
      <w:rFonts w:ascii="Lucida Grande" w:hAnsi="Lucida Grande" w:cs="Lucida Grande"/>
      <w:sz w:val="18"/>
      <w:szCs w:val="18"/>
    </w:rPr>
  </w:style>
  <w:style w:type="paragraph" w:styleId="Header">
    <w:name w:val="header"/>
    <w:basedOn w:val="Normal"/>
    <w:link w:val="HeaderChar"/>
    <w:uiPriority w:val="99"/>
    <w:unhideWhenUsed/>
    <w:rsid w:val="00586F5C"/>
    <w:pPr>
      <w:tabs>
        <w:tab w:val="center" w:pos="4320"/>
        <w:tab w:val="right" w:pos="8640"/>
      </w:tabs>
    </w:pPr>
  </w:style>
  <w:style w:type="character" w:customStyle="1" w:styleId="HeaderChar">
    <w:name w:val="Header Char"/>
    <w:basedOn w:val="DefaultParagraphFont"/>
    <w:link w:val="Header"/>
    <w:uiPriority w:val="99"/>
    <w:rsid w:val="00586F5C"/>
  </w:style>
  <w:style w:type="paragraph" w:styleId="ListParagraph">
    <w:name w:val="List Paragraph"/>
    <w:basedOn w:val="Normal"/>
    <w:uiPriority w:val="34"/>
    <w:qFormat/>
    <w:rsid w:val="00647460"/>
    <w:pPr>
      <w:ind w:left="720"/>
      <w:contextualSpacing/>
    </w:pPr>
  </w:style>
  <w:style w:type="paragraph" w:customStyle="1" w:styleId="EndNoteBibliographyTitle">
    <w:name w:val="EndNote Bibliography Title"/>
    <w:basedOn w:val="Normal"/>
    <w:rsid w:val="00B54CB6"/>
    <w:pPr>
      <w:jc w:val="center"/>
    </w:pPr>
    <w:rPr>
      <w:rFonts w:ascii="Cambria" w:hAnsi="Cambr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822E01"/>
    <w:rPr>
      <w:vertAlign w:val="superscript"/>
    </w:rPr>
  </w:style>
  <w:style w:type="paragraph" w:styleId="FootnoteText">
    <w:name w:val="footnote text"/>
    <w:basedOn w:val="Normal"/>
    <w:link w:val="FootnoteTextChar"/>
    <w:uiPriority w:val="99"/>
    <w:unhideWhenUsed/>
    <w:rsid w:val="00822E01"/>
    <w:rPr>
      <w:rFonts w:ascii="Eurostile" w:eastAsia="Cambria" w:hAnsi="Eurostile"/>
    </w:rPr>
  </w:style>
  <w:style w:type="character" w:customStyle="1" w:styleId="FootnoteTextChar">
    <w:name w:val="Footnote Text Char"/>
    <w:basedOn w:val="DefaultParagraphFont"/>
    <w:link w:val="FootnoteText"/>
    <w:uiPriority w:val="99"/>
    <w:rsid w:val="00822E01"/>
    <w:rPr>
      <w:rFonts w:ascii="Eurostile" w:eastAsia="Cambria" w:hAnsi="Eurostile"/>
    </w:rPr>
  </w:style>
  <w:style w:type="character" w:customStyle="1" w:styleId="CharStyleItalicI">
    <w:name w:val="Char Style: Italic (I)"/>
    <w:uiPriority w:val="99"/>
    <w:rsid w:val="00822E01"/>
    <w:rPr>
      <w:rFonts w:cs="Times New Roman"/>
      <w:i/>
      <w:color w:val="007033"/>
    </w:rPr>
  </w:style>
  <w:style w:type="paragraph" w:styleId="Footer">
    <w:name w:val="footer"/>
    <w:basedOn w:val="Normal"/>
    <w:link w:val="FooterChar"/>
    <w:uiPriority w:val="99"/>
    <w:unhideWhenUsed/>
    <w:rsid w:val="005F5BB8"/>
    <w:pPr>
      <w:tabs>
        <w:tab w:val="center" w:pos="4320"/>
        <w:tab w:val="right" w:pos="8640"/>
      </w:tabs>
    </w:pPr>
  </w:style>
  <w:style w:type="character" w:customStyle="1" w:styleId="FooterChar">
    <w:name w:val="Footer Char"/>
    <w:basedOn w:val="DefaultParagraphFont"/>
    <w:link w:val="Footer"/>
    <w:uiPriority w:val="99"/>
    <w:rsid w:val="005F5BB8"/>
  </w:style>
  <w:style w:type="character" w:styleId="PageNumber">
    <w:name w:val="page number"/>
    <w:basedOn w:val="DefaultParagraphFont"/>
    <w:uiPriority w:val="99"/>
    <w:semiHidden/>
    <w:unhideWhenUsed/>
    <w:rsid w:val="005F5BB8"/>
  </w:style>
  <w:style w:type="character" w:styleId="Hyperlink">
    <w:name w:val="Hyperlink"/>
    <w:basedOn w:val="DefaultParagraphFont"/>
    <w:uiPriority w:val="99"/>
    <w:unhideWhenUsed/>
    <w:rsid w:val="008100C9"/>
    <w:rPr>
      <w:color w:val="0000FF" w:themeColor="hyperlink"/>
      <w:u w:val="single"/>
    </w:rPr>
  </w:style>
  <w:style w:type="character" w:styleId="FollowedHyperlink">
    <w:name w:val="FollowedHyperlink"/>
    <w:basedOn w:val="DefaultParagraphFont"/>
    <w:uiPriority w:val="99"/>
    <w:semiHidden/>
    <w:unhideWhenUsed/>
    <w:rsid w:val="001434C1"/>
    <w:rPr>
      <w:color w:val="800080" w:themeColor="followedHyperlink"/>
      <w:u w:val="single"/>
    </w:rPr>
  </w:style>
  <w:style w:type="paragraph" w:styleId="NoSpacing">
    <w:name w:val="No Spacing"/>
    <w:uiPriority w:val="1"/>
    <w:qFormat/>
    <w:rsid w:val="00C144B8"/>
  </w:style>
  <w:style w:type="paragraph" w:styleId="NoteLevel1">
    <w:name w:val="Note Level 1"/>
    <w:basedOn w:val="Normal"/>
    <w:uiPriority w:val="99"/>
    <w:unhideWhenUsed/>
    <w:rsid w:val="00F8432A"/>
    <w:pPr>
      <w:keepNext/>
      <w:numPr>
        <w:numId w:val="1"/>
      </w:numPr>
      <w:contextualSpacing/>
      <w:outlineLvl w:val="0"/>
    </w:pPr>
    <w:rPr>
      <w:rFonts w:ascii="Verdana" w:hAnsi="Verdana" w:cstheme="minorBidi"/>
    </w:rPr>
  </w:style>
  <w:style w:type="paragraph" w:styleId="NoteLevel2">
    <w:name w:val="Note Level 2"/>
    <w:basedOn w:val="Normal"/>
    <w:uiPriority w:val="99"/>
    <w:unhideWhenUsed/>
    <w:rsid w:val="00F8432A"/>
    <w:pPr>
      <w:keepNext/>
      <w:numPr>
        <w:ilvl w:val="1"/>
        <w:numId w:val="1"/>
      </w:numPr>
      <w:contextualSpacing/>
      <w:outlineLvl w:val="1"/>
    </w:pPr>
    <w:rPr>
      <w:rFonts w:ascii="Verdana" w:hAnsi="Verdana" w:cstheme="minorBidi"/>
    </w:rPr>
  </w:style>
  <w:style w:type="paragraph" w:styleId="NoteLevel3">
    <w:name w:val="Note Level 3"/>
    <w:basedOn w:val="Normal"/>
    <w:uiPriority w:val="99"/>
    <w:semiHidden/>
    <w:unhideWhenUsed/>
    <w:rsid w:val="00F8432A"/>
    <w:pPr>
      <w:keepNext/>
      <w:numPr>
        <w:ilvl w:val="2"/>
        <w:numId w:val="1"/>
      </w:numPr>
      <w:contextualSpacing/>
      <w:outlineLvl w:val="2"/>
    </w:pPr>
    <w:rPr>
      <w:rFonts w:ascii="Verdana" w:hAnsi="Verdana" w:cstheme="minorBidi"/>
    </w:rPr>
  </w:style>
  <w:style w:type="paragraph" w:styleId="NoteLevel4">
    <w:name w:val="Note Level 4"/>
    <w:basedOn w:val="Normal"/>
    <w:uiPriority w:val="99"/>
    <w:semiHidden/>
    <w:unhideWhenUsed/>
    <w:rsid w:val="00F8432A"/>
    <w:pPr>
      <w:keepNext/>
      <w:numPr>
        <w:ilvl w:val="3"/>
        <w:numId w:val="1"/>
      </w:numPr>
      <w:contextualSpacing/>
      <w:outlineLvl w:val="3"/>
    </w:pPr>
    <w:rPr>
      <w:rFonts w:ascii="Verdana" w:hAnsi="Verdana" w:cstheme="minorBidi"/>
    </w:rPr>
  </w:style>
  <w:style w:type="paragraph" w:styleId="NoteLevel5">
    <w:name w:val="Note Level 5"/>
    <w:basedOn w:val="Normal"/>
    <w:uiPriority w:val="99"/>
    <w:semiHidden/>
    <w:unhideWhenUsed/>
    <w:rsid w:val="00F8432A"/>
    <w:pPr>
      <w:keepNext/>
      <w:numPr>
        <w:ilvl w:val="4"/>
        <w:numId w:val="1"/>
      </w:numPr>
      <w:contextualSpacing/>
      <w:outlineLvl w:val="4"/>
    </w:pPr>
    <w:rPr>
      <w:rFonts w:ascii="Verdana" w:hAnsi="Verdana" w:cstheme="minorBidi"/>
    </w:rPr>
  </w:style>
  <w:style w:type="paragraph" w:styleId="NoteLevel6">
    <w:name w:val="Note Level 6"/>
    <w:basedOn w:val="Normal"/>
    <w:uiPriority w:val="99"/>
    <w:semiHidden/>
    <w:unhideWhenUsed/>
    <w:rsid w:val="00F8432A"/>
    <w:pPr>
      <w:keepNext/>
      <w:numPr>
        <w:ilvl w:val="5"/>
        <w:numId w:val="1"/>
      </w:numPr>
      <w:contextualSpacing/>
      <w:outlineLvl w:val="5"/>
    </w:pPr>
    <w:rPr>
      <w:rFonts w:ascii="Verdana" w:hAnsi="Verdana" w:cstheme="minorBidi"/>
    </w:rPr>
  </w:style>
  <w:style w:type="paragraph" w:styleId="NoteLevel7">
    <w:name w:val="Note Level 7"/>
    <w:basedOn w:val="Normal"/>
    <w:uiPriority w:val="99"/>
    <w:semiHidden/>
    <w:unhideWhenUsed/>
    <w:rsid w:val="00F8432A"/>
    <w:pPr>
      <w:keepNext/>
      <w:numPr>
        <w:ilvl w:val="6"/>
        <w:numId w:val="1"/>
      </w:numPr>
      <w:contextualSpacing/>
      <w:outlineLvl w:val="6"/>
    </w:pPr>
    <w:rPr>
      <w:rFonts w:ascii="Verdana" w:hAnsi="Verdana" w:cstheme="minorBidi"/>
    </w:rPr>
  </w:style>
  <w:style w:type="paragraph" w:styleId="NoteLevel8">
    <w:name w:val="Note Level 8"/>
    <w:basedOn w:val="Normal"/>
    <w:uiPriority w:val="99"/>
    <w:semiHidden/>
    <w:unhideWhenUsed/>
    <w:rsid w:val="00F8432A"/>
    <w:pPr>
      <w:keepNext/>
      <w:numPr>
        <w:ilvl w:val="7"/>
        <w:numId w:val="1"/>
      </w:numPr>
      <w:contextualSpacing/>
      <w:outlineLvl w:val="7"/>
    </w:pPr>
    <w:rPr>
      <w:rFonts w:ascii="Verdana" w:hAnsi="Verdana" w:cstheme="minorBidi"/>
    </w:rPr>
  </w:style>
  <w:style w:type="paragraph" w:styleId="NoteLevel9">
    <w:name w:val="Note Level 9"/>
    <w:basedOn w:val="Normal"/>
    <w:uiPriority w:val="99"/>
    <w:semiHidden/>
    <w:unhideWhenUsed/>
    <w:rsid w:val="00F8432A"/>
    <w:pPr>
      <w:keepNext/>
      <w:numPr>
        <w:ilvl w:val="8"/>
        <w:numId w:val="1"/>
      </w:numPr>
      <w:contextualSpacing/>
      <w:outlineLvl w:val="8"/>
    </w:pPr>
    <w:rPr>
      <w:rFonts w:ascii="Verdana" w:hAnsi="Verdana" w:cstheme="minorBidi"/>
    </w:rPr>
  </w:style>
  <w:style w:type="paragraph" w:customStyle="1" w:styleId="EndNoteBibliography">
    <w:name w:val="EndNote Bibliography"/>
    <w:basedOn w:val="Normal"/>
    <w:rsid w:val="007D42CB"/>
    <w:rPr>
      <w:rFonts w:ascii="Cambria" w:hAnsi="Cambria"/>
    </w:rPr>
  </w:style>
  <w:style w:type="character" w:styleId="CommentReference">
    <w:name w:val="annotation reference"/>
    <w:basedOn w:val="DefaultParagraphFont"/>
    <w:unhideWhenUsed/>
    <w:rsid w:val="00572DA4"/>
    <w:rPr>
      <w:sz w:val="18"/>
      <w:szCs w:val="18"/>
    </w:rPr>
  </w:style>
  <w:style w:type="table" w:styleId="TableGrid">
    <w:name w:val="Table Grid"/>
    <w:basedOn w:val="TableNormal"/>
    <w:uiPriority w:val="59"/>
    <w:rsid w:val="008B48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622040"/>
  </w:style>
  <w:style w:type="character" w:customStyle="1" w:styleId="CommentTextChar">
    <w:name w:val="Comment Text Char"/>
    <w:basedOn w:val="DefaultParagraphFont"/>
    <w:link w:val="CommentText"/>
    <w:uiPriority w:val="99"/>
    <w:semiHidden/>
    <w:rsid w:val="00622040"/>
  </w:style>
  <w:style w:type="paragraph" w:styleId="CommentSubject">
    <w:name w:val="annotation subject"/>
    <w:basedOn w:val="CommentText"/>
    <w:next w:val="CommentText"/>
    <w:link w:val="CommentSubjectChar"/>
    <w:uiPriority w:val="99"/>
    <w:semiHidden/>
    <w:unhideWhenUsed/>
    <w:rsid w:val="00622040"/>
    <w:rPr>
      <w:b/>
      <w:bCs/>
      <w:sz w:val="20"/>
      <w:szCs w:val="20"/>
    </w:rPr>
  </w:style>
  <w:style w:type="character" w:customStyle="1" w:styleId="CommentSubjectChar">
    <w:name w:val="Comment Subject Char"/>
    <w:basedOn w:val="CommentTextChar"/>
    <w:link w:val="CommentSubject"/>
    <w:uiPriority w:val="99"/>
    <w:semiHidden/>
    <w:rsid w:val="00622040"/>
    <w:rPr>
      <w:b/>
      <w:bCs/>
      <w:sz w:val="20"/>
      <w:szCs w:val="20"/>
    </w:rPr>
  </w:style>
  <w:style w:type="paragraph" w:styleId="BalloonText">
    <w:name w:val="Balloon Text"/>
    <w:basedOn w:val="Normal"/>
    <w:link w:val="BalloonTextChar"/>
    <w:uiPriority w:val="99"/>
    <w:semiHidden/>
    <w:unhideWhenUsed/>
    <w:rsid w:val="006220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2040"/>
    <w:rPr>
      <w:rFonts w:ascii="Lucida Grande" w:hAnsi="Lucida Grande" w:cs="Lucida Grande"/>
      <w:sz w:val="18"/>
      <w:szCs w:val="18"/>
    </w:rPr>
  </w:style>
  <w:style w:type="paragraph" w:styleId="Header">
    <w:name w:val="header"/>
    <w:basedOn w:val="Normal"/>
    <w:link w:val="HeaderChar"/>
    <w:uiPriority w:val="99"/>
    <w:unhideWhenUsed/>
    <w:rsid w:val="00586F5C"/>
    <w:pPr>
      <w:tabs>
        <w:tab w:val="center" w:pos="4320"/>
        <w:tab w:val="right" w:pos="8640"/>
      </w:tabs>
    </w:pPr>
  </w:style>
  <w:style w:type="character" w:customStyle="1" w:styleId="HeaderChar">
    <w:name w:val="Header Char"/>
    <w:basedOn w:val="DefaultParagraphFont"/>
    <w:link w:val="Header"/>
    <w:uiPriority w:val="99"/>
    <w:rsid w:val="00586F5C"/>
  </w:style>
  <w:style w:type="paragraph" w:styleId="ListParagraph">
    <w:name w:val="List Paragraph"/>
    <w:basedOn w:val="Normal"/>
    <w:uiPriority w:val="34"/>
    <w:qFormat/>
    <w:rsid w:val="00647460"/>
    <w:pPr>
      <w:ind w:left="720"/>
      <w:contextualSpacing/>
    </w:pPr>
  </w:style>
  <w:style w:type="paragraph" w:customStyle="1" w:styleId="EndNoteBibliographyTitle">
    <w:name w:val="EndNote Bibliography Title"/>
    <w:basedOn w:val="Normal"/>
    <w:rsid w:val="00B54CB6"/>
    <w:pPr>
      <w:jc w:val="center"/>
    </w:pPr>
    <w:rPr>
      <w:rFonts w:ascii="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508723">
      <w:bodyDiv w:val="1"/>
      <w:marLeft w:val="0"/>
      <w:marRight w:val="0"/>
      <w:marTop w:val="0"/>
      <w:marBottom w:val="0"/>
      <w:divBdr>
        <w:top w:val="none" w:sz="0" w:space="0" w:color="auto"/>
        <w:left w:val="none" w:sz="0" w:space="0" w:color="auto"/>
        <w:bottom w:val="none" w:sz="0" w:space="0" w:color="auto"/>
        <w:right w:val="none" w:sz="0" w:space="0" w:color="auto"/>
      </w:divBdr>
    </w:div>
    <w:div w:id="1472559539">
      <w:bodyDiv w:val="1"/>
      <w:marLeft w:val="0"/>
      <w:marRight w:val="0"/>
      <w:marTop w:val="0"/>
      <w:marBottom w:val="0"/>
      <w:divBdr>
        <w:top w:val="none" w:sz="0" w:space="0" w:color="auto"/>
        <w:left w:val="none" w:sz="0" w:space="0" w:color="auto"/>
        <w:bottom w:val="none" w:sz="0" w:space="0" w:color="auto"/>
        <w:right w:val="none" w:sz="0" w:space="0" w:color="auto"/>
      </w:divBdr>
    </w:div>
    <w:div w:id="16879466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imf.org/~/media/Files/Publications/PP/2017/pp073117-collaboration-between-regional-financing-arrangements-and-the-imf.ashx" TargetMode="External"/><Relationship Id="rId21" Type="http://schemas.openxmlformats.org/officeDocument/2006/relationships/hyperlink" Target="http://www.project-syndicate.org/commentary/china-silk-road-fund-development-financing-by-richard-kozul-wright-and-daniel-poon-2015-05" TargetMode="External"/><Relationship Id="rId22" Type="http://schemas.openxmlformats.org/officeDocument/2006/relationships/hyperlink" Target="https://doi.org/10.1057/s41268-017-0106-0" TargetMode="External"/><Relationship Id="rId23" Type="http://schemas.openxmlformats.org/officeDocument/2006/relationships/hyperlink" Target="https://doi.org/10.2202/1948-1837.1139," TargetMode="External"/><Relationship Id="rId24" Type="http://schemas.openxmlformats.org/officeDocument/2006/relationships/hyperlink" Target="https://www.imf.org/external/np/pp/eng/2013/041113b.pdf" TargetMode="External"/><Relationship Id="rId25" Type="http://schemas.openxmlformats.org/officeDocument/2006/relationships/hyperlink" Target="http://www.polsoz.fu-berlin.de/en/v/transformeurope/news/allgemeines/KFG-Working-Paper-No-75.html" TargetMode="External"/><Relationship Id="rId26" Type="http://schemas.openxmlformats.org/officeDocument/2006/relationships/hyperlink" Target="http://www.ft.com/intl/cms/s/0/7cc16b54-9b19-11dd-a653-000077b07658.html?siteedition=intl" TargetMode="External"/><Relationship Id="rId27" Type="http://schemas.openxmlformats.org/officeDocument/2006/relationships/hyperlink" Target="http://www.brettonwoodsproject.org/2016/04/what-is-left-of-the-rise-of-the-south-sceptical-prospects-for-multipolarity/" TargetMode="External"/><Relationship Id="rId28" Type="http://schemas.openxmlformats.org/officeDocument/2006/relationships/hyperlink" Target="https://www.imf.org/external/np/speeches/2010/022610.htm" TargetMode="External"/><Relationship Id="rId29" Type="http://schemas.openxmlformats.org/officeDocument/2006/relationships/hyperlink" Target="http://repositorio.cepal.org/bitstream/handle/11362/37018/RVI112Titelmanetal_en.pdf?sequence=1"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un.org/esa/ffd/monterrey/MonterreyConsensus.pdf" TargetMode="External"/><Relationship Id="rId31" Type="http://schemas.openxmlformats.org/officeDocument/2006/relationships/hyperlink" Target="http://www.un.org/ga/econcrisissummit/docs/FinalReport_CoE.pdf" TargetMode="External"/><Relationship Id="rId32" Type="http://schemas.openxmlformats.org/officeDocument/2006/relationships/hyperlink" Target="https://sustainabledevelopment.un.org/content/documents/4588FINAL%20REPORT%20ICESDF.pdf" TargetMode="External"/><Relationship Id="rId9" Type="http://schemas.openxmlformats.org/officeDocument/2006/relationships/hyperlink" Target="http://dx.doi.org/10.1111/dech.12469"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www.bis.org/review/r090402c.pdf" TargetMode="External"/><Relationship Id="rId34" Type="http://schemas.openxmlformats.org/officeDocument/2006/relationships/footer" Target="footer1.xml"/><Relationship Id="rId35" Type="http://schemas.openxmlformats.org/officeDocument/2006/relationships/footer" Target="footer2.xml"/><Relationship Id="rId36" Type="http://schemas.openxmlformats.org/officeDocument/2006/relationships/fontTable" Target="fontTable.xml"/><Relationship Id="rId10" Type="http://schemas.openxmlformats.org/officeDocument/2006/relationships/hyperlink" Target="https://www.ethicsandinternationalaffairs.org/2017/multiplex-world-order/" TargetMode="External"/><Relationship Id="rId11" Type="http://schemas.openxmlformats.org/officeDocument/2006/relationships/hyperlink" Target="http://asean.org/joint-statement-19th-asean3-finance-ministers-central-bank-governors-meeting-3-may-2016-frankfurt-germany/" TargetMode="External"/><Relationship Id="rId12" Type="http://schemas.openxmlformats.org/officeDocument/2006/relationships/hyperlink" Target="http://brics.itamaraty.gov.br/category-english/21-documents/223-sixth-summit-declaration-and-action-plan" TargetMode="External"/><Relationship Id="rId13" Type="http://schemas.openxmlformats.org/officeDocument/2006/relationships/hyperlink" Target="https://www.globalpolicyjournal.com/blog/03/11/2016/what-next-world-order-and-global-governance" TargetMode="External"/><Relationship Id="rId14" Type="http://schemas.openxmlformats.org/officeDocument/2006/relationships/hyperlink" Target="http://efsd.eabr.org/e/" TargetMode="External"/><Relationship Id="rId15" Type="http://schemas.openxmlformats.org/officeDocument/2006/relationships/hyperlink" Target="https://www.bu.edu/pardeeschool/files/2016/05/Fueling-Growth.FINAL_.version.pdf" TargetMode="External"/><Relationship Id="rId16" Type="http://schemas.openxmlformats.org/officeDocument/2006/relationships/hyperlink" Target="http://hdr.undp.org/sites/default/files/hdro_1307_grabel.pdf" TargetMode="External"/><Relationship Id="rId17" Type="http://schemas.openxmlformats.org/officeDocument/2006/relationships/hyperlink" Target="http://www.recoveryhumanface.org/e-discussion-2013/archives/07-2014" TargetMode="External"/><Relationship Id="rId18" Type="http://schemas.openxmlformats.org/officeDocument/2006/relationships/hyperlink" Target="https://www.odi.org/sites/odi.org.uk/files/odi-assets/publications-opinion-files/9615.pdf" TargetMode="External"/><Relationship Id="rId19" Type="http://schemas.openxmlformats.org/officeDocument/2006/relationships/hyperlink" Target="https://www.imf.org/en/Publications/Policy-Papers/Issues/2017/07/26/pp072617-adequacy-of-the-global-financial-safety-net" TargetMode="External"/><Relationship Id="rId3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7A3E4-D307-6E49-9675-F219CFE38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23328</Words>
  <Characters>132975</Characters>
  <Application>Microsoft Macintosh Word</Application>
  <DocSecurity>0</DocSecurity>
  <Lines>1108</Lines>
  <Paragraphs>311</Paragraphs>
  <ScaleCrop>false</ScaleCrop>
  <Company>University of Denver</Company>
  <LinksUpToDate>false</LinksUpToDate>
  <CharactersWithSpaces>155992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ILENE GRABEL</dc:creator>
  <cp:keywords/>
  <dc:description/>
  <cp:lastModifiedBy>ILENE GRABEL</cp:lastModifiedBy>
  <cp:revision>13</cp:revision>
  <cp:lastPrinted>2018-07-31T01:53:00Z</cp:lastPrinted>
  <dcterms:created xsi:type="dcterms:W3CDTF">2018-07-31T17:37:00Z</dcterms:created>
  <dcterms:modified xsi:type="dcterms:W3CDTF">2019-01-14T16:50:00Z</dcterms:modified>
</cp:coreProperties>
</file>